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551E7">
      <w:pPr>
        <w:jc w:val="center"/>
        <w:rPr>
          <w:b/>
          <w:sz w:val="36"/>
          <w:szCs w:val="36"/>
        </w:rPr>
      </w:pPr>
      <w:bookmarkStart w:id="0" w:name="_GoBack"/>
      <w:bookmarkEnd w:id="0"/>
      <w:r>
        <w:rPr>
          <w:rFonts w:eastAsia="黑体"/>
          <w:bCs/>
          <w:sz w:val="30"/>
          <w:szCs w:val="30"/>
        </w:rPr>
        <w:t>齐齐哈尔医学院</w:t>
      </w:r>
      <w:r>
        <w:rPr>
          <w:rFonts w:hint="eastAsia" w:eastAsia="黑体"/>
          <w:bCs/>
          <w:sz w:val="30"/>
          <w:szCs w:val="30"/>
          <w:lang w:val="en-US" w:eastAsia="zh-CN"/>
        </w:rPr>
        <w:t>2026届公共卫生</w:t>
      </w:r>
      <w:r>
        <w:rPr>
          <w:rFonts w:eastAsia="黑体"/>
          <w:bCs/>
          <w:sz w:val="30"/>
          <w:szCs w:val="30"/>
        </w:rPr>
        <w:t>硕士</w:t>
      </w:r>
      <w:r>
        <w:rPr>
          <w:rFonts w:hint="eastAsia" w:eastAsia="黑体"/>
          <w:bCs/>
          <w:sz w:val="30"/>
          <w:szCs w:val="30"/>
          <w:lang w:eastAsia="zh-CN"/>
        </w:rPr>
        <w:t>专业</w:t>
      </w:r>
      <w:r>
        <w:rPr>
          <w:rFonts w:eastAsia="黑体"/>
          <w:bCs/>
          <w:sz w:val="30"/>
          <w:szCs w:val="30"/>
        </w:rPr>
        <w:t>学位论文</w:t>
      </w:r>
      <w:r>
        <w:rPr>
          <w:rFonts w:hint="eastAsia" w:eastAsia="黑体"/>
          <w:bCs/>
          <w:sz w:val="30"/>
          <w:szCs w:val="30"/>
          <w:lang w:eastAsia="zh-CN"/>
        </w:rPr>
        <w:t>答辩</w:t>
      </w:r>
    </w:p>
    <w:tbl>
      <w:tblPr>
        <w:tblStyle w:val="4"/>
        <w:tblpPr w:leftFromText="180" w:rightFromText="180" w:vertAnchor="text" w:horzAnchor="page" w:tblpX="1549" w:tblpY="154"/>
        <w:tblOverlap w:val="never"/>
        <w:tblW w:w="48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49"/>
        <w:gridCol w:w="1030"/>
        <w:gridCol w:w="3187"/>
        <w:gridCol w:w="4854"/>
        <w:gridCol w:w="1092"/>
        <w:gridCol w:w="1893"/>
        <w:gridCol w:w="1032"/>
      </w:tblGrid>
      <w:tr w14:paraId="1FB9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270" w:type="pct"/>
            <w:tcMar>
              <w:top w:w="0" w:type="dxa"/>
              <w:left w:w="108" w:type="dxa"/>
              <w:bottom w:w="0" w:type="dxa"/>
              <w:right w:w="108" w:type="dxa"/>
            </w:tcMar>
            <w:vAlign w:val="center"/>
          </w:tcPr>
          <w:p w14:paraId="62CFF16D">
            <w:pPr>
              <w:widowControl/>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序号</w:t>
            </w:r>
          </w:p>
        </w:tc>
        <w:tc>
          <w:tcPr>
            <w:tcW w:w="372" w:type="pct"/>
            <w:tcMar>
              <w:top w:w="0" w:type="dxa"/>
              <w:left w:w="108" w:type="dxa"/>
              <w:bottom w:w="0" w:type="dxa"/>
              <w:right w:w="108" w:type="dxa"/>
            </w:tcMar>
            <w:vAlign w:val="center"/>
          </w:tcPr>
          <w:p w14:paraId="7B46B00A">
            <w:pPr>
              <w:widowControl/>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报告人</w:t>
            </w:r>
          </w:p>
        </w:tc>
        <w:tc>
          <w:tcPr>
            <w:tcW w:w="1151" w:type="pct"/>
            <w:tcMar>
              <w:top w:w="0" w:type="dxa"/>
              <w:left w:w="108" w:type="dxa"/>
              <w:bottom w:w="0" w:type="dxa"/>
              <w:right w:w="108" w:type="dxa"/>
            </w:tcMar>
            <w:vAlign w:val="center"/>
          </w:tcPr>
          <w:p w14:paraId="73661707">
            <w:pPr>
              <w:widowControl/>
              <w:spacing w:line="440" w:lineRule="exact"/>
              <w:jc w:val="center"/>
              <w:rPr>
                <w:rFonts w:hint="default" w:ascii="Times New Roman" w:hAnsi="Times New Roman" w:eastAsia="宋体" w:cs="Times New Roman"/>
                <w:b/>
                <w:color w:val="1A1A1A" w:themeColor="background1" w:themeShade="1A"/>
                <w:sz w:val="21"/>
                <w:szCs w:val="21"/>
                <w:lang w:val="en-US" w:eastAsia="zh-CN"/>
              </w:rPr>
            </w:pPr>
            <w:r>
              <w:rPr>
                <w:rFonts w:hint="default" w:ascii="Times New Roman" w:hAnsi="Times New Roman" w:eastAsia="宋体" w:cs="Times New Roman"/>
                <w:b/>
                <w:color w:val="1A1A1A" w:themeColor="background1" w:themeShade="1A"/>
                <w:sz w:val="21"/>
                <w:szCs w:val="21"/>
                <w:lang w:val="en-US" w:eastAsia="zh-CN"/>
              </w:rPr>
              <w:t>研究方向</w:t>
            </w:r>
          </w:p>
        </w:tc>
        <w:tc>
          <w:tcPr>
            <w:tcW w:w="1753" w:type="pct"/>
            <w:tcMar>
              <w:top w:w="0" w:type="dxa"/>
              <w:left w:w="108" w:type="dxa"/>
              <w:bottom w:w="0" w:type="dxa"/>
              <w:right w:w="108" w:type="dxa"/>
            </w:tcMar>
            <w:vAlign w:val="center"/>
          </w:tcPr>
          <w:p w14:paraId="20B60AAF">
            <w:pPr>
              <w:widowControl/>
              <w:spacing w:line="440" w:lineRule="exact"/>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学位论文题目</w:t>
            </w:r>
          </w:p>
        </w:tc>
        <w:tc>
          <w:tcPr>
            <w:tcW w:w="394" w:type="pct"/>
            <w:tcMar>
              <w:top w:w="0" w:type="dxa"/>
              <w:left w:w="108" w:type="dxa"/>
              <w:bottom w:w="0" w:type="dxa"/>
              <w:right w:w="108" w:type="dxa"/>
            </w:tcMar>
            <w:vAlign w:val="center"/>
          </w:tcPr>
          <w:p w14:paraId="5F403AE4">
            <w:pPr>
              <w:widowControl/>
              <w:spacing w:line="440" w:lineRule="exact"/>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导师</w:t>
            </w:r>
          </w:p>
        </w:tc>
        <w:tc>
          <w:tcPr>
            <w:tcW w:w="684" w:type="pct"/>
            <w:tcMar>
              <w:top w:w="0" w:type="dxa"/>
              <w:left w:w="108" w:type="dxa"/>
              <w:bottom w:w="0" w:type="dxa"/>
              <w:right w:w="108" w:type="dxa"/>
            </w:tcMar>
            <w:vAlign w:val="center"/>
          </w:tcPr>
          <w:p w14:paraId="00D235FA">
            <w:pPr>
              <w:widowControl/>
              <w:spacing w:line="440" w:lineRule="exact"/>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时间</w:t>
            </w:r>
          </w:p>
        </w:tc>
        <w:tc>
          <w:tcPr>
            <w:tcW w:w="372" w:type="pct"/>
            <w:tcMar>
              <w:top w:w="0" w:type="dxa"/>
              <w:left w:w="108" w:type="dxa"/>
              <w:bottom w:w="0" w:type="dxa"/>
              <w:right w:w="108" w:type="dxa"/>
            </w:tcMar>
            <w:vAlign w:val="center"/>
          </w:tcPr>
          <w:p w14:paraId="2CBD7216">
            <w:pPr>
              <w:widowControl/>
              <w:spacing w:line="440" w:lineRule="exact"/>
              <w:jc w:val="center"/>
              <w:rPr>
                <w:rFonts w:hint="default" w:ascii="Times New Roman" w:hAnsi="Times New Roman" w:eastAsia="宋体" w:cs="Times New Roman"/>
                <w:b/>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地点</w:t>
            </w:r>
          </w:p>
        </w:tc>
      </w:tr>
      <w:tr w14:paraId="34C2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2F9D9C16">
            <w:pPr>
              <w:widowControl/>
              <w:numPr>
                <w:ilvl w:val="0"/>
                <w:numId w:val="1"/>
              </w:numPr>
              <w:spacing w:before="100" w:beforeAutospacing="1" w:after="100" w:afterAutospacing="1"/>
              <w:ind w:left="635" w:leftChars="0" w:hanging="425" w:firstLineChars="0"/>
              <w:jc w:val="center"/>
              <w:rPr>
                <w:rFonts w:hint="default" w:ascii="Times New Roman" w:hAnsi="Times New Roman" w:eastAsia="宋体" w:cs="Times New Roman"/>
                <w:color w:val="1A1A1A" w:themeColor="background1" w:themeShade="1A"/>
                <w:sz w:val="21"/>
                <w:szCs w:val="21"/>
              </w:rPr>
            </w:pPr>
          </w:p>
        </w:tc>
        <w:tc>
          <w:tcPr>
            <w:tcW w:w="372" w:type="pct"/>
            <w:tcMar>
              <w:top w:w="0" w:type="dxa"/>
              <w:left w:w="108" w:type="dxa"/>
              <w:bottom w:w="0" w:type="dxa"/>
              <w:right w:w="108" w:type="dxa"/>
            </w:tcMar>
            <w:vAlign w:val="center"/>
          </w:tcPr>
          <w:p w14:paraId="6CFCFF59">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孔令欣</w:t>
            </w:r>
          </w:p>
        </w:tc>
        <w:tc>
          <w:tcPr>
            <w:tcW w:w="1151" w:type="pct"/>
            <w:shd w:val="clear" w:color="auto" w:fill="auto"/>
            <w:tcMar>
              <w:top w:w="0" w:type="dxa"/>
              <w:left w:w="108" w:type="dxa"/>
              <w:bottom w:w="0" w:type="dxa"/>
              <w:right w:w="108" w:type="dxa"/>
            </w:tcMar>
            <w:vAlign w:val="center"/>
          </w:tcPr>
          <w:p w14:paraId="3DFBB352">
            <w:pPr>
              <w:keepNext w:val="0"/>
              <w:keepLines w:val="0"/>
              <w:widowControl/>
              <w:suppressLineNumbers w:val="0"/>
              <w:jc w:val="center"/>
              <w:textAlignment w:val="center"/>
              <w:rPr>
                <w:rFonts w:hint="default" w:ascii="宋体" w:hAnsi="宋体" w:eastAsia="宋体" w:cs="宋体"/>
                <w:i w:val="0"/>
                <w:iCs w:val="0"/>
                <w:color w:val="000000"/>
                <w:kern w:val="1"/>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疾病预防与临床流行病学</w:t>
            </w:r>
          </w:p>
        </w:tc>
        <w:tc>
          <w:tcPr>
            <w:tcW w:w="1753" w:type="pct"/>
            <w:tcMar>
              <w:top w:w="0" w:type="dxa"/>
              <w:left w:w="108" w:type="dxa"/>
              <w:bottom w:w="0" w:type="dxa"/>
              <w:right w:w="108" w:type="dxa"/>
            </w:tcMar>
            <w:vAlign w:val="center"/>
          </w:tcPr>
          <w:p w14:paraId="7E1E826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东北严寒地区达斡尔族、汉族人群Hcy代谢相关基因甲基化与缺血性脑卒中的相关关系</w:t>
            </w:r>
          </w:p>
        </w:tc>
        <w:tc>
          <w:tcPr>
            <w:tcW w:w="394" w:type="pct"/>
            <w:tcMar>
              <w:top w:w="0" w:type="dxa"/>
              <w:left w:w="108" w:type="dxa"/>
              <w:bottom w:w="0" w:type="dxa"/>
              <w:right w:w="108" w:type="dxa"/>
            </w:tcMar>
            <w:vAlign w:val="center"/>
          </w:tcPr>
          <w:p w14:paraId="190CB6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葛杰</w:t>
            </w:r>
          </w:p>
        </w:tc>
        <w:tc>
          <w:tcPr>
            <w:tcW w:w="684" w:type="pct"/>
            <w:tcMar>
              <w:top w:w="0" w:type="dxa"/>
              <w:left w:w="108" w:type="dxa"/>
              <w:bottom w:w="0" w:type="dxa"/>
              <w:right w:w="108" w:type="dxa"/>
            </w:tcMar>
            <w:vAlign w:val="center"/>
          </w:tcPr>
          <w:p w14:paraId="1D772250">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shd w:val="clear" w:color="auto" w:fill="auto"/>
            <w:tcMar>
              <w:top w:w="0" w:type="dxa"/>
              <w:left w:w="108" w:type="dxa"/>
              <w:bottom w:w="0" w:type="dxa"/>
              <w:right w:w="108" w:type="dxa"/>
            </w:tcMar>
            <w:vAlign w:val="center"/>
          </w:tcPr>
          <w:p w14:paraId="14A8EC55">
            <w:pPr>
              <w:keepNext w:val="0"/>
              <w:keepLines w:val="0"/>
              <w:widowControl/>
              <w:suppressLineNumbers w:val="0"/>
              <w:jc w:val="center"/>
              <w:textAlignment w:val="center"/>
              <w:rPr>
                <w:rFonts w:hint="default" w:ascii="Times New Roman" w:hAnsi="Times New Roman" w:eastAsia="宋体" w:cs="Times New Roman"/>
                <w:i w:val="0"/>
                <w:iCs w:val="0"/>
                <w:color w:val="000000"/>
                <w:kern w:val="1"/>
                <w:sz w:val="21"/>
                <w:szCs w:val="21"/>
                <w:u w:val="none"/>
                <w:lang w:val="en-US" w:eastAsia="zh-CN" w:bidi="ar-SA"/>
              </w:rPr>
            </w:pPr>
            <w:r>
              <w:rPr>
                <w:rFonts w:hint="eastAsia" w:cs="Times New Roman"/>
                <w:i w:val="0"/>
                <w:iCs w:val="0"/>
                <w:color w:val="000000"/>
                <w:kern w:val="1"/>
                <w:sz w:val="21"/>
                <w:szCs w:val="21"/>
                <w:u w:val="none"/>
                <w:lang w:val="en-US" w:eastAsia="zh-CN" w:bidi="ar-SA"/>
              </w:rPr>
              <w:t>AB-101</w:t>
            </w:r>
          </w:p>
        </w:tc>
      </w:tr>
      <w:tr w14:paraId="1167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1585BB05">
            <w:pPr>
              <w:widowControl/>
              <w:numPr>
                <w:ilvl w:val="0"/>
                <w:numId w:val="1"/>
              </w:numPr>
              <w:spacing w:before="100" w:beforeAutospacing="1" w:after="100" w:afterAutospacing="1"/>
              <w:ind w:left="635" w:leftChars="0" w:hanging="425" w:firstLineChars="0"/>
              <w:jc w:val="center"/>
              <w:rPr>
                <w:rFonts w:hint="default" w:ascii="Times New Roman" w:hAnsi="Times New Roman" w:eastAsia="宋体" w:cs="Times New Roman"/>
                <w:color w:val="1A1A1A" w:themeColor="background1" w:themeShade="1A"/>
                <w:sz w:val="21"/>
                <w:szCs w:val="21"/>
              </w:rPr>
            </w:pPr>
          </w:p>
        </w:tc>
        <w:tc>
          <w:tcPr>
            <w:tcW w:w="372" w:type="pct"/>
            <w:tcMar>
              <w:top w:w="0" w:type="dxa"/>
              <w:left w:w="108" w:type="dxa"/>
              <w:bottom w:w="0" w:type="dxa"/>
              <w:right w:w="108" w:type="dxa"/>
            </w:tcMar>
            <w:vAlign w:val="center"/>
          </w:tcPr>
          <w:p w14:paraId="4E291EA6">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梁玥</w:t>
            </w:r>
          </w:p>
        </w:tc>
        <w:tc>
          <w:tcPr>
            <w:tcW w:w="1151" w:type="pct"/>
            <w:tcMar>
              <w:top w:w="0" w:type="dxa"/>
              <w:left w:w="108" w:type="dxa"/>
              <w:bottom w:w="0" w:type="dxa"/>
              <w:right w:w="108" w:type="dxa"/>
            </w:tcMar>
            <w:vAlign w:val="center"/>
          </w:tcPr>
          <w:p w14:paraId="0273FC9E">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疾病预防与临床流行病学</w:t>
            </w:r>
          </w:p>
        </w:tc>
        <w:tc>
          <w:tcPr>
            <w:tcW w:w="1753" w:type="pct"/>
            <w:tcMar>
              <w:top w:w="0" w:type="dxa"/>
              <w:left w:w="108" w:type="dxa"/>
              <w:bottom w:w="0" w:type="dxa"/>
              <w:right w:w="108" w:type="dxa"/>
            </w:tcMar>
            <w:vAlign w:val="center"/>
          </w:tcPr>
          <w:p w14:paraId="13ED1FE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2004-2023年齐齐哈尔市肺结核分布特征及发病预测研究</w:t>
            </w:r>
          </w:p>
        </w:tc>
        <w:tc>
          <w:tcPr>
            <w:tcW w:w="394" w:type="pct"/>
            <w:tcMar>
              <w:top w:w="0" w:type="dxa"/>
              <w:left w:w="108" w:type="dxa"/>
              <w:bottom w:w="0" w:type="dxa"/>
              <w:right w:w="108" w:type="dxa"/>
            </w:tcMar>
            <w:vAlign w:val="center"/>
          </w:tcPr>
          <w:p w14:paraId="28083F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谢志平</w:t>
            </w:r>
          </w:p>
        </w:tc>
        <w:tc>
          <w:tcPr>
            <w:tcW w:w="684" w:type="pct"/>
            <w:tcMar>
              <w:top w:w="0" w:type="dxa"/>
              <w:left w:w="108" w:type="dxa"/>
              <w:bottom w:w="0" w:type="dxa"/>
              <w:right w:w="108" w:type="dxa"/>
            </w:tcMar>
            <w:vAlign w:val="center"/>
          </w:tcPr>
          <w:p w14:paraId="6ABEBDAA">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798EC605">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000000"/>
                <w:kern w:val="1"/>
                <w:sz w:val="21"/>
                <w:szCs w:val="21"/>
                <w:u w:val="none"/>
                <w:lang w:val="en-US" w:eastAsia="zh-CN" w:bidi="ar-SA"/>
              </w:rPr>
              <w:t>AB-101</w:t>
            </w:r>
          </w:p>
        </w:tc>
      </w:tr>
      <w:tr w14:paraId="5E17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619A9D0A">
            <w:pPr>
              <w:widowControl/>
              <w:numPr>
                <w:ilvl w:val="0"/>
                <w:numId w:val="1"/>
              </w:numPr>
              <w:spacing w:before="100" w:beforeAutospacing="1" w:after="100" w:afterAutospacing="1"/>
              <w:ind w:left="635" w:leftChars="0" w:hanging="425" w:firstLineChars="0"/>
              <w:jc w:val="center"/>
              <w:rPr>
                <w:rFonts w:hint="default" w:ascii="Times New Roman" w:hAnsi="Times New Roman" w:eastAsia="宋体" w:cs="Times New Roman"/>
                <w:color w:val="1A1A1A" w:themeColor="background1" w:themeShade="1A"/>
                <w:sz w:val="21"/>
                <w:szCs w:val="21"/>
              </w:rPr>
            </w:pPr>
          </w:p>
        </w:tc>
        <w:tc>
          <w:tcPr>
            <w:tcW w:w="372" w:type="pct"/>
            <w:tcMar>
              <w:top w:w="0" w:type="dxa"/>
              <w:left w:w="108" w:type="dxa"/>
              <w:bottom w:w="0" w:type="dxa"/>
              <w:right w:w="108" w:type="dxa"/>
            </w:tcMar>
            <w:vAlign w:val="center"/>
          </w:tcPr>
          <w:p w14:paraId="2CADD648">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曹蓓蕾</w:t>
            </w:r>
          </w:p>
        </w:tc>
        <w:tc>
          <w:tcPr>
            <w:tcW w:w="1151" w:type="pct"/>
            <w:tcMar>
              <w:top w:w="0" w:type="dxa"/>
              <w:left w:w="108" w:type="dxa"/>
              <w:bottom w:w="0" w:type="dxa"/>
              <w:right w:w="108" w:type="dxa"/>
            </w:tcMar>
            <w:vAlign w:val="center"/>
          </w:tcPr>
          <w:p w14:paraId="5D1BDFD5">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疾病预防与临床流行病学</w:t>
            </w:r>
          </w:p>
        </w:tc>
        <w:tc>
          <w:tcPr>
            <w:tcW w:w="1753" w:type="pct"/>
            <w:tcMar>
              <w:top w:w="0" w:type="dxa"/>
              <w:left w:w="108" w:type="dxa"/>
              <w:bottom w:w="0" w:type="dxa"/>
              <w:right w:w="108" w:type="dxa"/>
            </w:tcMar>
            <w:vAlign w:val="center"/>
          </w:tcPr>
          <w:p w14:paraId="44E28B5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东北严寒地区达斡尔族和汉族人群缺血性脑卒中危险因素及易感基因研究</w:t>
            </w:r>
          </w:p>
        </w:tc>
        <w:tc>
          <w:tcPr>
            <w:tcW w:w="394" w:type="pct"/>
            <w:tcMar>
              <w:top w:w="0" w:type="dxa"/>
              <w:left w:w="108" w:type="dxa"/>
              <w:bottom w:w="0" w:type="dxa"/>
              <w:right w:w="108" w:type="dxa"/>
            </w:tcMar>
            <w:vAlign w:val="center"/>
          </w:tcPr>
          <w:p w14:paraId="0B32027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钞虹</w:t>
            </w:r>
          </w:p>
        </w:tc>
        <w:tc>
          <w:tcPr>
            <w:tcW w:w="684" w:type="pct"/>
            <w:tcMar>
              <w:top w:w="0" w:type="dxa"/>
              <w:left w:w="108" w:type="dxa"/>
              <w:bottom w:w="0" w:type="dxa"/>
              <w:right w:w="108" w:type="dxa"/>
            </w:tcMar>
            <w:vAlign w:val="center"/>
          </w:tcPr>
          <w:p w14:paraId="13726192">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14557B12">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000000"/>
                <w:kern w:val="1"/>
                <w:sz w:val="21"/>
                <w:szCs w:val="21"/>
                <w:u w:val="none"/>
                <w:lang w:val="en-US" w:eastAsia="zh-CN" w:bidi="ar-SA"/>
              </w:rPr>
              <w:t>AB-101</w:t>
            </w:r>
          </w:p>
        </w:tc>
      </w:tr>
      <w:tr w14:paraId="7BBF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2495BC0B">
            <w:pPr>
              <w:widowControl/>
              <w:numPr>
                <w:ilvl w:val="0"/>
                <w:numId w:val="1"/>
              </w:numPr>
              <w:spacing w:before="100" w:beforeAutospacing="1" w:after="100" w:afterAutospacing="1"/>
              <w:ind w:left="635" w:leftChars="0" w:hanging="425" w:firstLineChars="0"/>
              <w:jc w:val="center"/>
              <w:rPr>
                <w:rFonts w:hint="default" w:ascii="Times New Roman" w:hAnsi="Times New Roman" w:eastAsia="宋体" w:cs="Times New Roman"/>
                <w:color w:val="1A1A1A" w:themeColor="background1" w:themeShade="1A"/>
                <w:sz w:val="21"/>
                <w:szCs w:val="21"/>
              </w:rPr>
            </w:pPr>
          </w:p>
        </w:tc>
        <w:tc>
          <w:tcPr>
            <w:tcW w:w="372" w:type="pct"/>
            <w:tcMar>
              <w:top w:w="0" w:type="dxa"/>
              <w:left w:w="108" w:type="dxa"/>
              <w:bottom w:w="0" w:type="dxa"/>
              <w:right w:w="108" w:type="dxa"/>
            </w:tcMar>
            <w:vAlign w:val="center"/>
          </w:tcPr>
          <w:p w14:paraId="00F2D4E2">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火利峰</w:t>
            </w:r>
          </w:p>
        </w:tc>
        <w:tc>
          <w:tcPr>
            <w:tcW w:w="1151" w:type="pct"/>
            <w:shd w:val="clear" w:color="auto" w:fill="auto"/>
            <w:tcMar>
              <w:top w:w="0" w:type="dxa"/>
              <w:left w:w="108" w:type="dxa"/>
              <w:bottom w:w="0" w:type="dxa"/>
              <w:right w:w="108" w:type="dxa"/>
            </w:tcMar>
            <w:vAlign w:val="center"/>
          </w:tcPr>
          <w:p w14:paraId="74929CEC">
            <w:pPr>
              <w:keepNext w:val="0"/>
              <w:keepLines w:val="0"/>
              <w:widowControl/>
              <w:suppressLineNumbers w:val="0"/>
              <w:jc w:val="center"/>
              <w:textAlignment w:val="center"/>
              <w:rPr>
                <w:rFonts w:hint="default" w:ascii="宋体" w:hAnsi="宋体" w:eastAsia="宋体" w:cs="宋体"/>
                <w:i w:val="0"/>
                <w:iCs w:val="0"/>
                <w:color w:val="000000"/>
                <w:kern w:val="1"/>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医学数据管理与大数据处理</w:t>
            </w:r>
          </w:p>
        </w:tc>
        <w:tc>
          <w:tcPr>
            <w:tcW w:w="1753" w:type="pct"/>
            <w:tcMar>
              <w:top w:w="0" w:type="dxa"/>
              <w:left w:w="108" w:type="dxa"/>
              <w:bottom w:w="0" w:type="dxa"/>
              <w:right w:w="108" w:type="dxa"/>
            </w:tcMar>
            <w:vAlign w:val="center"/>
          </w:tcPr>
          <w:p w14:paraId="4023B8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贝叶斯神经网络在缺血性脑卒中预后预测中的应用与性能评估</w:t>
            </w:r>
          </w:p>
        </w:tc>
        <w:tc>
          <w:tcPr>
            <w:tcW w:w="394" w:type="pct"/>
            <w:tcMar>
              <w:top w:w="0" w:type="dxa"/>
              <w:left w:w="108" w:type="dxa"/>
              <w:bottom w:w="0" w:type="dxa"/>
              <w:right w:w="108" w:type="dxa"/>
            </w:tcMar>
            <w:vAlign w:val="center"/>
          </w:tcPr>
          <w:p w14:paraId="4503251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韩云峰</w:t>
            </w:r>
          </w:p>
        </w:tc>
        <w:tc>
          <w:tcPr>
            <w:tcW w:w="684" w:type="pct"/>
            <w:tcMar>
              <w:top w:w="0" w:type="dxa"/>
              <w:left w:w="108" w:type="dxa"/>
              <w:bottom w:w="0" w:type="dxa"/>
              <w:right w:w="108" w:type="dxa"/>
            </w:tcMar>
            <w:vAlign w:val="center"/>
          </w:tcPr>
          <w:p w14:paraId="1A3CDA91">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7AB00315">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000000"/>
                <w:kern w:val="1"/>
                <w:sz w:val="21"/>
                <w:szCs w:val="21"/>
                <w:u w:val="none"/>
                <w:lang w:val="en-US" w:eastAsia="zh-CN" w:bidi="ar-SA"/>
              </w:rPr>
              <w:t>AB-101</w:t>
            </w:r>
          </w:p>
        </w:tc>
      </w:tr>
      <w:tr w14:paraId="0D7E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62E1CCBA">
            <w:pPr>
              <w:widowControl/>
              <w:numPr>
                <w:ilvl w:val="0"/>
                <w:numId w:val="1"/>
              </w:numPr>
              <w:spacing w:before="100" w:beforeAutospacing="1" w:after="100" w:afterAutospacing="1"/>
              <w:ind w:left="635" w:leftChars="0" w:hanging="425" w:firstLineChars="0"/>
              <w:jc w:val="center"/>
              <w:rPr>
                <w:rFonts w:hint="default" w:ascii="Times New Roman" w:hAnsi="Times New Roman" w:eastAsia="宋体" w:cs="Times New Roman"/>
                <w:color w:val="1A1A1A" w:themeColor="background1" w:themeShade="1A"/>
                <w:sz w:val="21"/>
                <w:szCs w:val="21"/>
              </w:rPr>
            </w:pPr>
          </w:p>
        </w:tc>
        <w:tc>
          <w:tcPr>
            <w:tcW w:w="372" w:type="pct"/>
            <w:tcMar>
              <w:top w:w="0" w:type="dxa"/>
              <w:left w:w="108" w:type="dxa"/>
              <w:bottom w:w="0" w:type="dxa"/>
              <w:right w:w="108" w:type="dxa"/>
            </w:tcMar>
            <w:vAlign w:val="center"/>
          </w:tcPr>
          <w:p w14:paraId="7B2598B2">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孔德颖</w:t>
            </w:r>
          </w:p>
        </w:tc>
        <w:tc>
          <w:tcPr>
            <w:tcW w:w="1151" w:type="pct"/>
            <w:shd w:val="clear" w:color="auto" w:fill="auto"/>
            <w:tcMar>
              <w:top w:w="0" w:type="dxa"/>
              <w:left w:w="108" w:type="dxa"/>
              <w:bottom w:w="0" w:type="dxa"/>
              <w:right w:w="108" w:type="dxa"/>
            </w:tcMar>
            <w:vAlign w:val="center"/>
          </w:tcPr>
          <w:p w14:paraId="24FD7144">
            <w:pPr>
              <w:keepNext w:val="0"/>
              <w:keepLines w:val="0"/>
              <w:widowControl/>
              <w:suppressLineNumbers w:val="0"/>
              <w:jc w:val="center"/>
              <w:textAlignment w:val="center"/>
              <w:rPr>
                <w:rFonts w:hint="default" w:ascii="宋体" w:hAnsi="宋体" w:eastAsia="宋体" w:cs="宋体"/>
                <w:i w:val="0"/>
                <w:iCs w:val="0"/>
                <w:color w:val="000000"/>
                <w:kern w:val="1"/>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卫生</w:t>
            </w:r>
            <w:r>
              <w:rPr>
                <w:rFonts w:hint="eastAsia" w:ascii="宋体" w:hAnsi="宋体" w:cs="宋体"/>
                <w:i w:val="0"/>
                <w:iCs w:val="0"/>
                <w:color w:val="000000"/>
                <w:kern w:val="0"/>
                <w:sz w:val="24"/>
                <w:szCs w:val="24"/>
                <w:u w:val="none"/>
                <w:lang w:val="en-US" w:eastAsia="zh-CN" w:bidi="ar"/>
              </w:rPr>
              <w:t>管理</w:t>
            </w:r>
            <w:r>
              <w:rPr>
                <w:rFonts w:hint="eastAsia" w:ascii="宋体" w:hAnsi="宋体" w:eastAsia="宋体" w:cs="宋体"/>
                <w:i w:val="0"/>
                <w:iCs w:val="0"/>
                <w:color w:val="000000"/>
                <w:kern w:val="0"/>
                <w:sz w:val="24"/>
                <w:szCs w:val="24"/>
                <w:u w:val="none"/>
                <w:lang w:val="en-US" w:eastAsia="zh-CN" w:bidi="ar"/>
              </w:rPr>
              <w:t>与健康促进</w:t>
            </w:r>
          </w:p>
        </w:tc>
        <w:tc>
          <w:tcPr>
            <w:tcW w:w="1753" w:type="pct"/>
            <w:tcMar>
              <w:top w:w="0" w:type="dxa"/>
              <w:left w:w="108" w:type="dxa"/>
              <w:bottom w:w="0" w:type="dxa"/>
              <w:right w:w="108" w:type="dxa"/>
            </w:tcMar>
            <w:vAlign w:val="center"/>
          </w:tcPr>
          <w:p w14:paraId="688DFEB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严寒地区达斡尔族、汉族高血压影响因素及易感基因研究</w:t>
            </w:r>
          </w:p>
        </w:tc>
        <w:tc>
          <w:tcPr>
            <w:tcW w:w="394" w:type="pct"/>
            <w:tcMar>
              <w:top w:w="0" w:type="dxa"/>
              <w:left w:w="108" w:type="dxa"/>
              <w:bottom w:w="0" w:type="dxa"/>
              <w:right w:w="108" w:type="dxa"/>
            </w:tcMar>
            <w:vAlign w:val="center"/>
          </w:tcPr>
          <w:p w14:paraId="79CD47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白丽</w:t>
            </w:r>
          </w:p>
        </w:tc>
        <w:tc>
          <w:tcPr>
            <w:tcW w:w="684" w:type="pct"/>
            <w:tcMar>
              <w:top w:w="0" w:type="dxa"/>
              <w:left w:w="108" w:type="dxa"/>
              <w:bottom w:w="0" w:type="dxa"/>
              <w:right w:w="108" w:type="dxa"/>
            </w:tcMar>
            <w:vAlign w:val="center"/>
          </w:tcPr>
          <w:p w14:paraId="018191D1">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08BB6410">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000000"/>
                <w:kern w:val="1"/>
                <w:sz w:val="21"/>
                <w:szCs w:val="21"/>
                <w:u w:val="none"/>
                <w:lang w:val="en-US" w:eastAsia="zh-CN" w:bidi="ar-SA"/>
              </w:rPr>
              <w:t>AB-101</w:t>
            </w:r>
          </w:p>
        </w:tc>
      </w:tr>
      <w:tr w14:paraId="1B0B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2656CCD9">
            <w:pPr>
              <w:widowControl/>
              <w:jc w:val="center"/>
              <w:rPr>
                <w:rFonts w:hint="default" w:ascii="Times New Roman" w:hAnsi="Times New Roman" w:eastAsia="宋体" w:cs="Times New Roman"/>
                <w:color w:val="1A1A1A" w:themeColor="background1" w:themeShade="1A"/>
                <w:sz w:val="21"/>
                <w:szCs w:val="21"/>
              </w:rPr>
            </w:pPr>
            <w:r>
              <w:rPr>
                <w:rFonts w:hint="default" w:ascii="Times New Roman" w:hAnsi="Times New Roman" w:eastAsia="宋体" w:cs="Times New Roman"/>
                <w:b/>
                <w:color w:val="1A1A1A" w:themeColor="background1" w:themeShade="1A"/>
                <w:sz w:val="21"/>
                <w:szCs w:val="21"/>
              </w:rPr>
              <w:t>序号</w:t>
            </w:r>
          </w:p>
        </w:tc>
        <w:tc>
          <w:tcPr>
            <w:tcW w:w="372" w:type="pct"/>
            <w:tcMar>
              <w:top w:w="0" w:type="dxa"/>
              <w:left w:w="108" w:type="dxa"/>
              <w:bottom w:w="0" w:type="dxa"/>
              <w:right w:w="108" w:type="dxa"/>
            </w:tcMar>
            <w:vAlign w:val="center"/>
          </w:tcPr>
          <w:p w14:paraId="53E627A2">
            <w:pPr>
              <w:widowControl/>
              <w:jc w:val="center"/>
              <w:rPr>
                <w:rFonts w:hint="eastAsia" w:ascii="宋体" w:hAnsi="宋体" w:eastAsia="宋体" w:cs="宋体"/>
                <w:i w:val="0"/>
                <w:iCs w:val="0"/>
                <w:color w:val="000000"/>
                <w:kern w:val="0"/>
                <w:sz w:val="24"/>
                <w:szCs w:val="24"/>
                <w:u w:val="none"/>
                <w:lang w:val="en-US" w:eastAsia="zh-CN" w:bidi="ar"/>
              </w:rPr>
            </w:pPr>
            <w:r>
              <w:rPr>
                <w:rFonts w:hint="default" w:ascii="Times New Roman" w:hAnsi="Times New Roman" w:eastAsia="宋体" w:cs="Times New Roman"/>
                <w:b/>
                <w:color w:val="1A1A1A" w:themeColor="background1" w:themeShade="1A"/>
                <w:sz w:val="21"/>
                <w:szCs w:val="21"/>
              </w:rPr>
              <w:t>报告人</w:t>
            </w:r>
          </w:p>
        </w:tc>
        <w:tc>
          <w:tcPr>
            <w:tcW w:w="1151" w:type="pct"/>
            <w:shd w:val="clear" w:color="auto" w:fill="auto"/>
            <w:tcMar>
              <w:top w:w="0" w:type="dxa"/>
              <w:left w:w="108" w:type="dxa"/>
              <w:bottom w:w="0" w:type="dxa"/>
              <w:right w:w="108" w:type="dxa"/>
            </w:tcMar>
            <w:vAlign w:val="center"/>
          </w:tcPr>
          <w:p w14:paraId="1357311D">
            <w:pPr>
              <w:widowControl/>
              <w:spacing w:line="440" w:lineRule="exact"/>
              <w:jc w:val="center"/>
              <w:rPr>
                <w:rFonts w:hint="eastAsia" w:ascii="宋体" w:hAnsi="宋体" w:eastAsia="宋体" w:cs="宋体"/>
                <w:i w:val="0"/>
                <w:iCs w:val="0"/>
                <w:color w:val="000000"/>
                <w:kern w:val="0"/>
                <w:sz w:val="24"/>
                <w:szCs w:val="24"/>
                <w:u w:val="none"/>
                <w:lang w:val="en-US" w:eastAsia="zh-CN" w:bidi="ar"/>
              </w:rPr>
            </w:pPr>
            <w:r>
              <w:rPr>
                <w:rFonts w:hint="default" w:ascii="Times New Roman" w:hAnsi="Times New Roman" w:eastAsia="宋体" w:cs="Times New Roman"/>
                <w:b/>
                <w:color w:val="1A1A1A" w:themeColor="background1" w:themeShade="1A"/>
                <w:sz w:val="21"/>
                <w:szCs w:val="21"/>
                <w:lang w:val="en-US" w:eastAsia="zh-CN"/>
              </w:rPr>
              <w:t>研究方向</w:t>
            </w:r>
          </w:p>
        </w:tc>
        <w:tc>
          <w:tcPr>
            <w:tcW w:w="1753" w:type="pct"/>
            <w:tcMar>
              <w:top w:w="0" w:type="dxa"/>
              <w:left w:w="108" w:type="dxa"/>
              <w:bottom w:w="0" w:type="dxa"/>
              <w:right w:w="108" w:type="dxa"/>
            </w:tcMar>
            <w:vAlign w:val="center"/>
          </w:tcPr>
          <w:p w14:paraId="63610396">
            <w:pPr>
              <w:widowControl/>
              <w:spacing w:line="440" w:lineRule="exact"/>
              <w:jc w:val="center"/>
              <w:rPr>
                <w:rFonts w:hint="eastAsia" w:ascii="宋体" w:hAnsi="宋体" w:eastAsia="宋体" w:cs="宋体"/>
                <w:i w:val="0"/>
                <w:iCs w:val="0"/>
                <w:color w:val="000000"/>
                <w:kern w:val="0"/>
                <w:sz w:val="24"/>
                <w:szCs w:val="24"/>
                <w:u w:val="none"/>
                <w:lang w:val="en-US" w:eastAsia="zh-CN" w:bidi="ar"/>
              </w:rPr>
            </w:pPr>
            <w:r>
              <w:rPr>
                <w:rFonts w:hint="default" w:ascii="Times New Roman" w:hAnsi="Times New Roman" w:eastAsia="宋体" w:cs="Times New Roman"/>
                <w:b/>
                <w:color w:val="1A1A1A" w:themeColor="background1" w:themeShade="1A"/>
                <w:sz w:val="21"/>
                <w:szCs w:val="21"/>
              </w:rPr>
              <w:t>学位论文题目</w:t>
            </w:r>
          </w:p>
        </w:tc>
        <w:tc>
          <w:tcPr>
            <w:tcW w:w="394" w:type="pct"/>
            <w:tcMar>
              <w:top w:w="0" w:type="dxa"/>
              <w:left w:w="108" w:type="dxa"/>
              <w:bottom w:w="0" w:type="dxa"/>
              <w:right w:w="108" w:type="dxa"/>
            </w:tcMar>
            <w:vAlign w:val="center"/>
          </w:tcPr>
          <w:p w14:paraId="77548116">
            <w:pPr>
              <w:widowControl/>
              <w:spacing w:line="440" w:lineRule="exact"/>
              <w:jc w:val="center"/>
              <w:rPr>
                <w:rFonts w:hint="eastAsia" w:ascii="宋体" w:hAnsi="宋体" w:eastAsia="宋体" w:cs="宋体"/>
                <w:i w:val="0"/>
                <w:iCs w:val="0"/>
                <w:color w:val="000000"/>
                <w:kern w:val="0"/>
                <w:sz w:val="24"/>
                <w:szCs w:val="24"/>
                <w:u w:val="none"/>
                <w:lang w:val="en-US" w:eastAsia="zh-CN" w:bidi="ar"/>
              </w:rPr>
            </w:pPr>
            <w:r>
              <w:rPr>
                <w:rFonts w:hint="default" w:ascii="Times New Roman" w:hAnsi="Times New Roman" w:eastAsia="宋体" w:cs="Times New Roman"/>
                <w:b/>
                <w:color w:val="1A1A1A" w:themeColor="background1" w:themeShade="1A"/>
                <w:sz w:val="21"/>
                <w:szCs w:val="21"/>
              </w:rPr>
              <w:t>导师</w:t>
            </w:r>
          </w:p>
        </w:tc>
        <w:tc>
          <w:tcPr>
            <w:tcW w:w="684" w:type="pct"/>
            <w:tcMar>
              <w:top w:w="0" w:type="dxa"/>
              <w:left w:w="108" w:type="dxa"/>
              <w:bottom w:w="0" w:type="dxa"/>
              <w:right w:w="108" w:type="dxa"/>
            </w:tcMar>
            <w:vAlign w:val="center"/>
          </w:tcPr>
          <w:p w14:paraId="31834A7B">
            <w:pPr>
              <w:widowControl/>
              <w:spacing w:line="440" w:lineRule="exact"/>
              <w:jc w:val="center"/>
              <w:rPr>
                <w:rFonts w:hint="eastAsia" w:cs="Times New Roman"/>
                <w:i w:val="0"/>
                <w:iCs w:val="0"/>
                <w:color w:val="1A1A1A" w:themeColor="background1" w:themeShade="1A"/>
                <w:kern w:val="0"/>
                <w:sz w:val="21"/>
                <w:szCs w:val="21"/>
                <w:u w:val="none"/>
                <w:lang w:val="en-US" w:eastAsia="zh-CN" w:bidi="ar"/>
              </w:rPr>
            </w:pPr>
            <w:r>
              <w:rPr>
                <w:rFonts w:hint="default" w:ascii="Times New Roman" w:hAnsi="Times New Roman" w:eastAsia="宋体" w:cs="Times New Roman"/>
                <w:b/>
                <w:color w:val="1A1A1A" w:themeColor="background1" w:themeShade="1A"/>
                <w:sz w:val="21"/>
                <w:szCs w:val="21"/>
              </w:rPr>
              <w:t>时间</w:t>
            </w:r>
          </w:p>
        </w:tc>
        <w:tc>
          <w:tcPr>
            <w:tcW w:w="372" w:type="pct"/>
            <w:tcMar>
              <w:top w:w="0" w:type="dxa"/>
              <w:left w:w="108" w:type="dxa"/>
              <w:bottom w:w="0" w:type="dxa"/>
              <w:right w:w="108" w:type="dxa"/>
            </w:tcMar>
            <w:vAlign w:val="center"/>
          </w:tcPr>
          <w:p w14:paraId="43F81407">
            <w:pPr>
              <w:widowControl/>
              <w:spacing w:line="440" w:lineRule="exact"/>
              <w:jc w:val="center"/>
              <w:rPr>
                <w:rFonts w:hint="eastAsia" w:cs="Times New Roman"/>
                <w:i w:val="0"/>
                <w:iCs w:val="0"/>
                <w:color w:val="000000"/>
                <w:kern w:val="1"/>
                <w:sz w:val="21"/>
                <w:szCs w:val="21"/>
                <w:u w:val="none"/>
                <w:lang w:val="en-US" w:eastAsia="zh-CN" w:bidi="ar-SA"/>
              </w:rPr>
            </w:pPr>
            <w:r>
              <w:rPr>
                <w:rFonts w:hint="default" w:ascii="Times New Roman" w:hAnsi="Times New Roman" w:eastAsia="宋体" w:cs="Times New Roman"/>
                <w:b/>
                <w:color w:val="1A1A1A" w:themeColor="background1" w:themeShade="1A"/>
                <w:sz w:val="21"/>
                <w:szCs w:val="21"/>
              </w:rPr>
              <w:t>地点</w:t>
            </w:r>
          </w:p>
        </w:tc>
      </w:tr>
      <w:tr w14:paraId="284A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72DEF4B5">
            <w:pPr>
              <w:widowControl/>
              <w:numPr>
                <w:ilvl w:val="0"/>
                <w:numId w:val="0"/>
              </w:numPr>
              <w:spacing w:before="100" w:beforeAutospacing="1" w:after="100" w:afterAutospacing="1"/>
              <w:ind w:left="210" w:leftChars="0"/>
              <w:jc w:val="center"/>
              <w:rPr>
                <w:rFonts w:hint="eastAsia" w:ascii="Times New Roman" w:hAnsi="Times New Roman" w:eastAsia="宋体" w:cs="Times New Roman"/>
                <w:color w:val="1A1A1A" w:themeColor="background1" w:themeShade="1A"/>
                <w:sz w:val="21"/>
                <w:szCs w:val="21"/>
                <w:lang w:val="en-US" w:eastAsia="zh-CN"/>
              </w:rPr>
            </w:pPr>
            <w:r>
              <w:rPr>
                <w:rFonts w:hint="eastAsia" w:cs="Times New Roman"/>
                <w:color w:val="1A1A1A" w:themeColor="background1" w:themeShade="1A"/>
                <w:sz w:val="21"/>
                <w:szCs w:val="21"/>
                <w:lang w:val="en-US" w:eastAsia="zh-CN"/>
              </w:rPr>
              <w:t>1</w:t>
            </w:r>
          </w:p>
        </w:tc>
        <w:tc>
          <w:tcPr>
            <w:tcW w:w="372" w:type="pct"/>
            <w:tcMar>
              <w:top w:w="0" w:type="dxa"/>
              <w:left w:w="108" w:type="dxa"/>
              <w:bottom w:w="0" w:type="dxa"/>
              <w:right w:w="108" w:type="dxa"/>
            </w:tcMar>
            <w:vAlign w:val="center"/>
          </w:tcPr>
          <w:p w14:paraId="19FCA823">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孟成吉</w:t>
            </w:r>
          </w:p>
        </w:tc>
        <w:tc>
          <w:tcPr>
            <w:tcW w:w="1151" w:type="pct"/>
            <w:tcMar>
              <w:top w:w="0" w:type="dxa"/>
              <w:left w:w="108" w:type="dxa"/>
              <w:bottom w:w="0" w:type="dxa"/>
              <w:right w:w="108" w:type="dxa"/>
            </w:tcMar>
            <w:vAlign w:val="center"/>
          </w:tcPr>
          <w:p w14:paraId="0B32AB15">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营养与食品安全</w:t>
            </w:r>
          </w:p>
        </w:tc>
        <w:tc>
          <w:tcPr>
            <w:tcW w:w="1753" w:type="pct"/>
            <w:tcMar>
              <w:top w:w="0" w:type="dxa"/>
              <w:left w:w="108" w:type="dxa"/>
              <w:bottom w:w="0" w:type="dxa"/>
              <w:right w:w="108" w:type="dxa"/>
            </w:tcMar>
            <w:vAlign w:val="center"/>
          </w:tcPr>
          <w:p w14:paraId="1220BD6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类黄酮专用食物频率问卷的建立及在高寒地区人群营养调查中的应用</w:t>
            </w:r>
          </w:p>
        </w:tc>
        <w:tc>
          <w:tcPr>
            <w:tcW w:w="394" w:type="pct"/>
            <w:tcMar>
              <w:top w:w="0" w:type="dxa"/>
              <w:left w:w="108" w:type="dxa"/>
              <w:bottom w:w="0" w:type="dxa"/>
              <w:right w:w="108" w:type="dxa"/>
            </w:tcMar>
            <w:vAlign w:val="center"/>
          </w:tcPr>
          <w:p w14:paraId="50B4730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程宇</w:t>
            </w:r>
          </w:p>
        </w:tc>
        <w:tc>
          <w:tcPr>
            <w:tcW w:w="684" w:type="pct"/>
            <w:tcMar>
              <w:top w:w="0" w:type="dxa"/>
              <w:left w:w="108" w:type="dxa"/>
              <w:bottom w:w="0" w:type="dxa"/>
              <w:right w:w="108" w:type="dxa"/>
            </w:tcMar>
            <w:vAlign w:val="center"/>
          </w:tcPr>
          <w:p w14:paraId="4F767BCA">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12EE77DB">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BC-102</w:t>
            </w:r>
          </w:p>
        </w:tc>
      </w:tr>
      <w:tr w14:paraId="6298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1A5E20C3">
            <w:pPr>
              <w:widowControl/>
              <w:numPr>
                <w:ilvl w:val="0"/>
                <w:numId w:val="0"/>
              </w:numPr>
              <w:spacing w:before="100" w:beforeAutospacing="1" w:after="100" w:afterAutospacing="1"/>
              <w:ind w:left="210" w:leftChars="0"/>
              <w:jc w:val="center"/>
              <w:rPr>
                <w:rFonts w:hint="eastAsia" w:ascii="Times New Roman" w:hAnsi="Times New Roman" w:eastAsia="宋体" w:cs="Times New Roman"/>
                <w:color w:val="1A1A1A" w:themeColor="background1" w:themeShade="1A"/>
                <w:sz w:val="21"/>
                <w:szCs w:val="21"/>
                <w:lang w:val="en-US" w:eastAsia="zh-CN"/>
              </w:rPr>
            </w:pPr>
            <w:r>
              <w:rPr>
                <w:rFonts w:hint="eastAsia" w:cs="Times New Roman"/>
                <w:color w:val="1A1A1A" w:themeColor="background1" w:themeShade="1A"/>
                <w:sz w:val="21"/>
                <w:szCs w:val="21"/>
                <w:lang w:val="en-US" w:eastAsia="zh-CN"/>
              </w:rPr>
              <w:t>2</w:t>
            </w:r>
          </w:p>
        </w:tc>
        <w:tc>
          <w:tcPr>
            <w:tcW w:w="372" w:type="pct"/>
            <w:tcMar>
              <w:top w:w="0" w:type="dxa"/>
              <w:left w:w="108" w:type="dxa"/>
              <w:bottom w:w="0" w:type="dxa"/>
              <w:right w:w="108" w:type="dxa"/>
            </w:tcMar>
            <w:vAlign w:val="center"/>
          </w:tcPr>
          <w:p w14:paraId="2E8FDEFB">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徐朴</w:t>
            </w:r>
          </w:p>
        </w:tc>
        <w:tc>
          <w:tcPr>
            <w:tcW w:w="1151" w:type="pct"/>
            <w:tcMar>
              <w:top w:w="0" w:type="dxa"/>
              <w:left w:w="108" w:type="dxa"/>
              <w:bottom w:w="0" w:type="dxa"/>
              <w:right w:w="108" w:type="dxa"/>
            </w:tcMar>
            <w:vAlign w:val="center"/>
          </w:tcPr>
          <w:p w14:paraId="24F10A0C">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营养与食品安全</w:t>
            </w:r>
          </w:p>
        </w:tc>
        <w:tc>
          <w:tcPr>
            <w:tcW w:w="1753" w:type="pct"/>
            <w:tcMar>
              <w:top w:w="0" w:type="dxa"/>
              <w:left w:w="108" w:type="dxa"/>
              <w:bottom w:w="0" w:type="dxa"/>
              <w:right w:w="108" w:type="dxa"/>
            </w:tcMar>
            <w:vAlign w:val="center"/>
          </w:tcPr>
          <w:p w14:paraId="6D2414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齐齐哈尔市社区2型糖尿病治疗惰性现状及影响因素研究</w:t>
            </w:r>
          </w:p>
        </w:tc>
        <w:tc>
          <w:tcPr>
            <w:tcW w:w="394" w:type="pct"/>
            <w:tcMar>
              <w:top w:w="0" w:type="dxa"/>
              <w:left w:w="108" w:type="dxa"/>
              <w:bottom w:w="0" w:type="dxa"/>
              <w:right w:w="108" w:type="dxa"/>
            </w:tcMar>
            <w:vAlign w:val="center"/>
          </w:tcPr>
          <w:p w14:paraId="2E33D78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薛海峰</w:t>
            </w:r>
          </w:p>
        </w:tc>
        <w:tc>
          <w:tcPr>
            <w:tcW w:w="684" w:type="pct"/>
            <w:tcMar>
              <w:top w:w="0" w:type="dxa"/>
              <w:left w:w="108" w:type="dxa"/>
              <w:bottom w:w="0" w:type="dxa"/>
              <w:right w:w="108" w:type="dxa"/>
            </w:tcMar>
            <w:vAlign w:val="center"/>
          </w:tcPr>
          <w:p w14:paraId="5DAFF747">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4EAEBD90">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BC-102</w:t>
            </w:r>
          </w:p>
        </w:tc>
      </w:tr>
      <w:tr w14:paraId="3676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2ED0E28D">
            <w:pPr>
              <w:widowControl/>
              <w:numPr>
                <w:ilvl w:val="0"/>
                <w:numId w:val="0"/>
              </w:numPr>
              <w:spacing w:before="100" w:beforeAutospacing="1" w:after="100" w:afterAutospacing="1"/>
              <w:ind w:left="210" w:leftChars="0"/>
              <w:jc w:val="center"/>
              <w:rPr>
                <w:rFonts w:hint="eastAsia" w:ascii="Times New Roman" w:hAnsi="Times New Roman" w:eastAsia="宋体" w:cs="Times New Roman"/>
                <w:color w:val="1A1A1A" w:themeColor="background1" w:themeShade="1A"/>
                <w:sz w:val="21"/>
                <w:szCs w:val="21"/>
                <w:lang w:val="en-US" w:eastAsia="zh-CN"/>
              </w:rPr>
            </w:pPr>
            <w:r>
              <w:rPr>
                <w:rFonts w:hint="eastAsia" w:cs="Times New Roman"/>
                <w:color w:val="1A1A1A" w:themeColor="background1" w:themeShade="1A"/>
                <w:sz w:val="21"/>
                <w:szCs w:val="21"/>
                <w:lang w:val="en-US" w:eastAsia="zh-CN"/>
              </w:rPr>
              <w:t>3</w:t>
            </w:r>
          </w:p>
        </w:tc>
        <w:tc>
          <w:tcPr>
            <w:tcW w:w="372" w:type="pct"/>
            <w:tcMar>
              <w:top w:w="0" w:type="dxa"/>
              <w:left w:w="108" w:type="dxa"/>
              <w:bottom w:w="0" w:type="dxa"/>
              <w:right w:w="108" w:type="dxa"/>
            </w:tcMar>
            <w:vAlign w:val="center"/>
          </w:tcPr>
          <w:p w14:paraId="0EB00DAD">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白鑫涛</w:t>
            </w:r>
          </w:p>
        </w:tc>
        <w:tc>
          <w:tcPr>
            <w:tcW w:w="1151" w:type="pct"/>
            <w:tcMar>
              <w:top w:w="0" w:type="dxa"/>
              <w:left w:w="108" w:type="dxa"/>
              <w:bottom w:w="0" w:type="dxa"/>
              <w:right w:w="108" w:type="dxa"/>
            </w:tcMar>
            <w:vAlign w:val="center"/>
          </w:tcPr>
          <w:p w14:paraId="69DDC8E5">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营养与食品安全</w:t>
            </w:r>
          </w:p>
        </w:tc>
        <w:tc>
          <w:tcPr>
            <w:tcW w:w="1753" w:type="pct"/>
            <w:tcMar>
              <w:top w:w="0" w:type="dxa"/>
              <w:left w:w="108" w:type="dxa"/>
              <w:bottom w:w="0" w:type="dxa"/>
              <w:right w:w="108" w:type="dxa"/>
            </w:tcMar>
            <w:vAlign w:val="center"/>
          </w:tcPr>
          <w:p w14:paraId="3F0458D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SIRT1信号通路介导的高中链脂肪酸膳食纠正成年肥胖的机制</w:t>
            </w:r>
          </w:p>
        </w:tc>
        <w:tc>
          <w:tcPr>
            <w:tcW w:w="394" w:type="pct"/>
            <w:tcMar>
              <w:top w:w="0" w:type="dxa"/>
              <w:left w:w="108" w:type="dxa"/>
              <w:bottom w:w="0" w:type="dxa"/>
              <w:right w:w="108" w:type="dxa"/>
            </w:tcMar>
            <w:vAlign w:val="center"/>
          </w:tcPr>
          <w:p w14:paraId="2EED31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董艳梅</w:t>
            </w:r>
          </w:p>
        </w:tc>
        <w:tc>
          <w:tcPr>
            <w:tcW w:w="684" w:type="pct"/>
            <w:tcMar>
              <w:top w:w="0" w:type="dxa"/>
              <w:left w:w="108" w:type="dxa"/>
              <w:bottom w:w="0" w:type="dxa"/>
              <w:right w:w="108" w:type="dxa"/>
            </w:tcMar>
            <w:vAlign w:val="center"/>
          </w:tcPr>
          <w:p w14:paraId="7C9886F9">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672589E8">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BC-102</w:t>
            </w:r>
          </w:p>
        </w:tc>
      </w:tr>
      <w:tr w14:paraId="62D3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03F5D760">
            <w:pPr>
              <w:widowControl/>
              <w:numPr>
                <w:ilvl w:val="0"/>
                <w:numId w:val="0"/>
              </w:numPr>
              <w:spacing w:before="100" w:beforeAutospacing="1" w:after="100" w:afterAutospacing="1"/>
              <w:ind w:left="210" w:leftChars="0"/>
              <w:jc w:val="center"/>
              <w:rPr>
                <w:rFonts w:hint="eastAsia" w:ascii="Times New Roman" w:hAnsi="Times New Roman" w:eastAsia="宋体" w:cs="Times New Roman"/>
                <w:color w:val="1A1A1A" w:themeColor="background1" w:themeShade="1A"/>
                <w:sz w:val="21"/>
                <w:szCs w:val="21"/>
                <w:lang w:val="en-US" w:eastAsia="zh-CN"/>
              </w:rPr>
            </w:pPr>
            <w:r>
              <w:rPr>
                <w:rFonts w:hint="eastAsia" w:cs="Times New Roman"/>
                <w:color w:val="1A1A1A" w:themeColor="background1" w:themeShade="1A"/>
                <w:sz w:val="21"/>
                <w:szCs w:val="21"/>
                <w:lang w:val="en-US" w:eastAsia="zh-CN"/>
              </w:rPr>
              <w:t>4</w:t>
            </w:r>
          </w:p>
        </w:tc>
        <w:tc>
          <w:tcPr>
            <w:tcW w:w="372" w:type="pct"/>
            <w:tcMar>
              <w:top w:w="0" w:type="dxa"/>
              <w:left w:w="108" w:type="dxa"/>
              <w:bottom w:w="0" w:type="dxa"/>
              <w:right w:w="108" w:type="dxa"/>
            </w:tcMar>
            <w:vAlign w:val="center"/>
          </w:tcPr>
          <w:p w14:paraId="5235665C">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李继媛</w:t>
            </w:r>
          </w:p>
        </w:tc>
        <w:tc>
          <w:tcPr>
            <w:tcW w:w="1151" w:type="pct"/>
            <w:tcMar>
              <w:top w:w="0" w:type="dxa"/>
              <w:left w:w="108" w:type="dxa"/>
              <w:bottom w:w="0" w:type="dxa"/>
              <w:right w:w="108" w:type="dxa"/>
            </w:tcMar>
            <w:vAlign w:val="center"/>
          </w:tcPr>
          <w:p w14:paraId="39748AF9">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儿少卫生与妇幼保健</w:t>
            </w:r>
          </w:p>
        </w:tc>
        <w:tc>
          <w:tcPr>
            <w:tcW w:w="1753" w:type="pct"/>
            <w:tcMar>
              <w:top w:w="0" w:type="dxa"/>
              <w:left w:w="108" w:type="dxa"/>
              <w:bottom w:w="0" w:type="dxa"/>
              <w:right w:w="108" w:type="dxa"/>
            </w:tcMar>
            <w:vAlign w:val="center"/>
          </w:tcPr>
          <w:p w14:paraId="25A9C87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基于多组学探究玉米须多糖对孤独症模型鼠的影响</w:t>
            </w:r>
          </w:p>
        </w:tc>
        <w:tc>
          <w:tcPr>
            <w:tcW w:w="394" w:type="pct"/>
            <w:tcMar>
              <w:top w:w="0" w:type="dxa"/>
              <w:left w:w="108" w:type="dxa"/>
              <w:bottom w:w="0" w:type="dxa"/>
              <w:right w:w="108" w:type="dxa"/>
            </w:tcMar>
            <w:vAlign w:val="center"/>
          </w:tcPr>
          <w:p w14:paraId="6FA7030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杨晓蕾</w:t>
            </w:r>
          </w:p>
        </w:tc>
        <w:tc>
          <w:tcPr>
            <w:tcW w:w="684" w:type="pct"/>
            <w:tcMar>
              <w:top w:w="0" w:type="dxa"/>
              <w:left w:w="108" w:type="dxa"/>
              <w:bottom w:w="0" w:type="dxa"/>
              <w:right w:w="108" w:type="dxa"/>
            </w:tcMar>
            <w:vAlign w:val="center"/>
          </w:tcPr>
          <w:p w14:paraId="6F8C6B96">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74A6062D">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BC-102</w:t>
            </w:r>
          </w:p>
        </w:tc>
      </w:tr>
      <w:tr w14:paraId="25F1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0" w:hRule="atLeast"/>
        </w:trPr>
        <w:tc>
          <w:tcPr>
            <w:tcW w:w="270" w:type="pct"/>
            <w:tcMar>
              <w:top w:w="0" w:type="dxa"/>
              <w:left w:w="108" w:type="dxa"/>
              <w:bottom w:w="0" w:type="dxa"/>
              <w:right w:w="108" w:type="dxa"/>
            </w:tcMar>
            <w:vAlign w:val="center"/>
          </w:tcPr>
          <w:p w14:paraId="3B7CE440">
            <w:pPr>
              <w:widowControl/>
              <w:numPr>
                <w:ilvl w:val="0"/>
                <w:numId w:val="0"/>
              </w:numPr>
              <w:spacing w:before="100" w:beforeAutospacing="1" w:after="100" w:afterAutospacing="1"/>
              <w:ind w:left="210" w:leftChars="0"/>
              <w:jc w:val="center"/>
              <w:rPr>
                <w:rFonts w:hint="eastAsia" w:ascii="Times New Roman" w:hAnsi="Times New Roman" w:eastAsia="宋体" w:cs="Times New Roman"/>
                <w:color w:val="1A1A1A" w:themeColor="background1" w:themeShade="1A"/>
                <w:sz w:val="21"/>
                <w:szCs w:val="21"/>
                <w:lang w:val="en-US" w:eastAsia="zh-CN"/>
              </w:rPr>
            </w:pPr>
            <w:r>
              <w:rPr>
                <w:rFonts w:hint="eastAsia" w:cs="Times New Roman"/>
                <w:color w:val="1A1A1A" w:themeColor="background1" w:themeShade="1A"/>
                <w:sz w:val="21"/>
                <w:szCs w:val="21"/>
                <w:lang w:val="en-US" w:eastAsia="zh-CN"/>
              </w:rPr>
              <w:t>5</w:t>
            </w:r>
          </w:p>
        </w:tc>
        <w:tc>
          <w:tcPr>
            <w:tcW w:w="372" w:type="pct"/>
            <w:tcMar>
              <w:top w:w="0" w:type="dxa"/>
              <w:left w:w="108" w:type="dxa"/>
              <w:bottom w:w="0" w:type="dxa"/>
              <w:right w:w="108" w:type="dxa"/>
            </w:tcMar>
            <w:vAlign w:val="center"/>
          </w:tcPr>
          <w:p w14:paraId="4962A3E9">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高悦</w:t>
            </w:r>
          </w:p>
        </w:tc>
        <w:tc>
          <w:tcPr>
            <w:tcW w:w="1151" w:type="pct"/>
            <w:tcMar>
              <w:top w:w="0" w:type="dxa"/>
              <w:left w:w="108" w:type="dxa"/>
              <w:bottom w:w="0" w:type="dxa"/>
              <w:right w:w="108" w:type="dxa"/>
            </w:tcMar>
            <w:vAlign w:val="center"/>
          </w:tcPr>
          <w:p w14:paraId="5284FA63">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儿少卫生与妇幼保健</w:t>
            </w:r>
          </w:p>
        </w:tc>
        <w:tc>
          <w:tcPr>
            <w:tcW w:w="1753" w:type="pct"/>
            <w:tcMar>
              <w:top w:w="0" w:type="dxa"/>
              <w:left w:w="108" w:type="dxa"/>
              <w:bottom w:w="0" w:type="dxa"/>
              <w:right w:w="108" w:type="dxa"/>
            </w:tcMar>
            <w:vAlign w:val="center"/>
          </w:tcPr>
          <w:p w14:paraId="45EB2F3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基于维生素D水平探究复合益生菌对孤独症模型鼠的影响</w:t>
            </w:r>
          </w:p>
        </w:tc>
        <w:tc>
          <w:tcPr>
            <w:tcW w:w="394" w:type="pct"/>
            <w:tcMar>
              <w:top w:w="0" w:type="dxa"/>
              <w:left w:w="108" w:type="dxa"/>
              <w:bottom w:w="0" w:type="dxa"/>
              <w:right w:w="108" w:type="dxa"/>
            </w:tcMar>
            <w:vAlign w:val="center"/>
          </w:tcPr>
          <w:p w14:paraId="33C88DC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杨晓蕾</w:t>
            </w:r>
          </w:p>
        </w:tc>
        <w:tc>
          <w:tcPr>
            <w:tcW w:w="684" w:type="pct"/>
            <w:tcMar>
              <w:top w:w="0" w:type="dxa"/>
              <w:left w:w="108" w:type="dxa"/>
              <w:bottom w:w="0" w:type="dxa"/>
              <w:right w:w="108" w:type="dxa"/>
            </w:tcMar>
            <w:vAlign w:val="center"/>
          </w:tcPr>
          <w:p w14:paraId="6242B481">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2026.05.14  14:00</w:t>
            </w:r>
          </w:p>
        </w:tc>
        <w:tc>
          <w:tcPr>
            <w:tcW w:w="372" w:type="pct"/>
            <w:tcMar>
              <w:top w:w="0" w:type="dxa"/>
              <w:left w:w="108" w:type="dxa"/>
              <w:bottom w:w="0" w:type="dxa"/>
              <w:right w:w="108" w:type="dxa"/>
            </w:tcMar>
            <w:vAlign w:val="center"/>
          </w:tcPr>
          <w:p w14:paraId="0F32E40B">
            <w:pPr>
              <w:keepNext w:val="0"/>
              <w:keepLines w:val="0"/>
              <w:widowControl/>
              <w:suppressLineNumbers w:val="0"/>
              <w:jc w:val="center"/>
              <w:textAlignment w:val="center"/>
              <w:rPr>
                <w:rFonts w:hint="default" w:ascii="Times New Roman" w:hAnsi="Times New Roman" w:eastAsia="宋体" w:cs="Times New Roman"/>
                <w:i w:val="0"/>
                <w:iCs w:val="0"/>
                <w:color w:val="1A1A1A" w:themeColor="background1" w:themeShade="1A"/>
                <w:kern w:val="0"/>
                <w:sz w:val="21"/>
                <w:szCs w:val="21"/>
                <w:u w:val="none"/>
                <w:lang w:val="en-US" w:eastAsia="zh-CN" w:bidi="ar"/>
              </w:rPr>
            </w:pPr>
            <w:r>
              <w:rPr>
                <w:rFonts w:hint="eastAsia" w:cs="Times New Roman"/>
                <w:i w:val="0"/>
                <w:iCs w:val="0"/>
                <w:color w:val="1A1A1A" w:themeColor="background1" w:themeShade="1A"/>
                <w:kern w:val="0"/>
                <w:sz w:val="21"/>
                <w:szCs w:val="21"/>
                <w:u w:val="none"/>
                <w:lang w:val="en-US" w:eastAsia="zh-CN" w:bidi="ar"/>
              </w:rPr>
              <w:t>BC-102</w:t>
            </w:r>
          </w:p>
        </w:tc>
      </w:tr>
    </w:tbl>
    <w:p w14:paraId="2E5D3944"/>
    <w:sectPr>
      <w:footnotePr>
        <w:numFmt w:val="decimal"/>
      </w:footnotePr>
      <w:endnotePr>
        <w:numFmt w:val="decimal"/>
      </w:endnotePr>
      <w:pgSz w:w="16838" w:h="11906" w:orient="landscape"/>
      <w:pgMar w:top="1800" w:right="1440" w:bottom="1800" w:left="144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5DF00"/>
    <w:multiLevelType w:val="singleLevel"/>
    <w:tmpl w:val="0065DF00"/>
    <w:lvl w:ilvl="0" w:tentative="0">
      <w:start w:val="1"/>
      <w:numFmt w:val="decimal"/>
      <w:lvlText w:val="%1"/>
      <w:lvlJc w:val="left"/>
      <w:pPr>
        <w:tabs>
          <w:tab w:val="left" w:pos="420"/>
        </w:tabs>
        <w:ind w:left="63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endnotePr>
    <w:numFmt w:val="decimal"/>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1NDZlMGU2YzY1MjJiNjNiYzIzM2ZlZjM0ZDcxMzAifQ=="/>
  </w:docVars>
  <w:rsids>
    <w:rsidRoot w:val="00000000"/>
    <w:rsid w:val="0046550B"/>
    <w:rsid w:val="005A648E"/>
    <w:rsid w:val="011B0745"/>
    <w:rsid w:val="01A76EEA"/>
    <w:rsid w:val="01DE0775"/>
    <w:rsid w:val="02DD676D"/>
    <w:rsid w:val="03785E45"/>
    <w:rsid w:val="05694235"/>
    <w:rsid w:val="06247371"/>
    <w:rsid w:val="062664FF"/>
    <w:rsid w:val="07F10452"/>
    <w:rsid w:val="0801368C"/>
    <w:rsid w:val="087D7F38"/>
    <w:rsid w:val="0A075D0B"/>
    <w:rsid w:val="0CF629FE"/>
    <w:rsid w:val="0F786FD5"/>
    <w:rsid w:val="0FF56606"/>
    <w:rsid w:val="118C679D"/>
    <w:rsid w:val="12906AB9"/>
    <w:rsid w:val="142B6A9A"/>
    <w:rsid w:val="143508BE"/>
    <w:rsid w:val="14E76E65"/>
    <w:rsid w:val="17895171"/>
    <w:rsid w:val="185A4110"/>
    <w:rsid w:val="1A342FB6"/>
    <w:rsid w:val="1DEA1774"/>
    <w:rsid w:val="1FA86948"/>
    <w:rsid w:val="22D14CB0"/>
    <w:rsid w:val="250E5705"/>
    <w:rsid w:val="2529718A"/>
    <w:rsid w:val="261D1FBA"/>
    <w:rsid w:val="26E36D60"/>
    <w:rsid w:val="27315D1D"/>
    <w:rsid w:val="28041684"/>
    <w:rsid w:val="29FB6ADB"/>
    <w:rsid w:val="2A756869"/>
    <w:rsid w:val="343545B5"/>
    <w:rsid w:val="35FB19F8"/>
    <w:rsid w:val="37773C20"/>
    <w:rsid w:val="39D76BF8"/>
    <w:rsid w:val="3AA22EC7"/>
    <w:rsid w:val="3B1E4502"/>
    <w:rsid w:val="3B830B67"/>
    <w:rsid w:val="3D155895"/>
    <w:rsid w:val="3EE93DC9"/>
    <w:rsid w:val="3FE91433"/>
    <w:rsid w:val="41036525"/>
    <w:rsid w:val="44E955C8"/>
    <w:rsid w:val="456D21BF"/>
    <w:rsid w:val="466A4950"/>
    <w:rsid w:val="4779067F"/>
    <w:rsid w:val="488012CE"/>
    <w:rsid w:val="48FD385A"/>
    <w:rsid w:val="4AEA6060"/>
    <w:rsid w:val="4B31119E"/>
    <w:rsid w:val="4C5B5467"/>
    <w:rsid w:val="4E487C6D"/>
    <w:rsid w:val="4FB01626"/>
    <w:rsid w:val="50E32779"/>
    <w:rsid w:val="519B6306"/>
    <w:rsid w:val="525766D1"/>
    <w:rsid w:val="533B7DA0"/>
    <w:rsid w:val="57D7409D"/>
    <w:rsid w:val="58156E12"/>
    <w:rsid w:val="581F77BA"/>
    <w:rsid w:val="58253478"/>
    <w:rsid w:val="59080725"/>
    <w:rsid w:val="5ADF7263"/>
    <w:rsid w:val="5AE42ACB"/>
    <w:rsid w:val="5B0B3659"/>
    <w:rsid w:val="5B2953E8"/>
    <w:rsid w:val="5E6463FD"/>
    <w:rsid w:val="613C6411"/>
    <w:rsid w:val="61511552"/>
    <w:rsid w:val="61E65553"/>
    <w:rsid w:val="629F1794"/>
    <w:rsid w:val="652E28CE"/>
    <w:rsid w:val="65ED4F2A"/>
    <w:rsid w:val="661A73EE"/>
    <w:rsid w:val="662F72F1"/>
    <w:rsid w:val="66C20165"/>
    <w:rsid w:val="66C45DB5"/>
    <w:rsid w:val="66C8504F"/>
    <w:rsid w:val="68103152"/>
    <w:rsid w:val="68B8594D"/>
    <w:rsid w:val="6A885556"/>
    <w:rsid w:val="6B2642C5"/>
    <w:rsid w:val="6B6F1F3D"/>
    <w:rsid w:val="6BA95681"/>
    <w:rsid w:val="6CB30550"/>
    <w:rsid w:val="6E510020"/>
    <w:rsid w:val="72585472"/>
    <w:rsid w:val="73C92407"/>
    <w:rsid w:val="7434641A"/>
    <w:rsid w:val="7628368E"/>
    <w:rsid w:val="76656D8E"/>
    <w:rsid w:val="766A1985"/>
    <w:rsid w:val="7771703D"/>
    <w:rsid w:val="77BA6C36"/>
    <w:rsid w:val="79166379"/>
    <w:rsid w:val="79417DC4"/>
    <w:rsid w:val="79D31CFF"/>
    <w:rsid w:val="7A583E39"/>
    <w:rsid w:val="7B3B658A"/>
    <w:rsid w:val="7B45758B"/>
    <w:rsid w:val="7B803CF3"/>
    <w:rsid w:val="7DBA02A2"/>
    <w:rsid w:val="7E1A27C4"/>
    <w:rsid w:val="7E5F25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1"/>
      <w:sz w:val="21"/>
      <w:szCs w:val="24"/>
      <w:lang w:val="en-US" w:eastAsia="zh-CN" w:bidi="ar-SA"/>
    </w:rPr>
  </w:style>
  <w:style w:type="character" w:default="1" w:styleId="5">
    <w:name w:val="Default Paragraph Font"/>
    <w:qFormat/>
    <w:uiPriority w:val="0"/>
    <w:rPr>
      <w:rFonts w:ascii="Calibri" w:hAnsi="Calibri" w:eastAsia="Calibri"/>
      <w:kern w:val="0"/>
      <w:sz w:val="20"/>
      <w:szCs w:val="20"/>
    </w:rPr>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jc w:val="left"/>
    </w:pPr>
    <w:rPr>
      <w:rFonts w:ascii="Times New Roman" w:hAnsi="Times New Roman" w:eastAsia="宋体" w:cs="Times New Roman"/>
      <w:kern w:val="1"/>
      <w:sz w:val="18"/>
      <w:szCs w:val="18"/>
      <w:lang w:val="en-US" w:eastAsia="zh-CN" w:bidi="ar-SA"/>
    </w:rPr>
  </w:style>
  <w:style w:type="paragraph" w:styleId="3">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shd w:val="clear"/>
      <w:tabs>
        <w:tab w:val="center" w:pos="4153"/>
        <w:tab w:val="right" w:pos="8306"/>
      </w:tabs>
      <w:jc w:val="center"/>
    </w:pPr>
    <w:rPr>
      <w:rFonts w:ascii="Times New Roman" w:hAnsi="Times New Roman" w:eastAsia="宋体" w:cs="Times New Roman"/>
      <w:kern w:val="1"/>
      <w:sz w:val="18"/>
      <w:szCs w:val="18"/>
      <w:lang w:val="en-US" w:eastAsia="zh-CN" w:bidi="ar-SA"/>
    </w:rPr>
  </w:style>
  <w:style w:type="character" w:customStyle="1" w:styleId="6">
    <w:name w:val="页眉 字符"/>
    <w:qFormat/>
    <w:uiPriority w:val="0"/>
    <w:rPr>
      <w:rFonts w:ascii="Times New Roman" w:hAnsi="Times New Roman" w:eastAsia="宋体" w:cs="Times New Roman"/>
      <w:sz w:val="18"/>
      <w:szCs w:val="18"/>
    </w:rPr>
  </w:style>
  <w:style w:type="character" w:customStyle="1" w:styleId="7">
    <w:name w:val="页脚 字符"/>
    <w:qFormat/>
    <w:uiPriority w:val="0"/>
    <w:rPr>
      <w:rFonts w:ascii="Times New Roman" w:hAnsi="Times New Roman" w:eastAsia="宋体" w:cs="Times New Roman"/>
      <w:sz w:val="18"/>
      <w:szCs w:val="18"/>
    </w:rPr>
  </w:style>
  <w:style w:type="character" w:customStyle="1" w:styleId="8">
    <w:name w:val="font51"/>
    <w:basedOn w:val="5"/>
    <w:qFormat/>
    <w:uiPriority w:val="0"/>
    <w:rPr>
      <w:rFonts w:hint="eastAsia" w:ascii="宋体" w:hAnsi="宋体" w:eastAsia="宋体" w:cs="宋体"/>
      <w:color w:val="444444"/>
      <w:sz w:val="20"/>
      <w:szCs w:val="20"/>
      <w:u w:val="none"/>
    </w:rPr>
  </w:style>
  <w:style w:type="character" w:customStyle="1" w:styleId="9">
    <w:name w:val="font11"/>
    <w:basedOn w:val="5"/>
    <w:qFormat/>
    <w:uiPriority w:val="0"/>
    <w:rPr>
      <w:rFonts w:hint="default" w:ascii="Times New Roman" w:hAnsi="Times New Roman" w:cs="Times New Roman"/>
      <w:color w:val="000000"/>
      <w:sz w:val="21"/>
      <w:szCs w:val="21"/>
      <w:u w:val="none"/>
    </w:rPr>
  </w:style>
  <w:style w:type="character" w:customStyle="1" w:styleId="10">
    <w:name w:val="font31"/>
    <w:basedOn w:val="5"/>
    <w:qFormat/>
    <w:uiPriority w:val="0"/>
    <w:rPr>
      <w:rFonts w:hint="eastAsia" w:ascii="宋体" w:hAnsi="宋体" w:eastAsia="宋体" w:cs="宋体"/>
      <w:color w:val="444444"/>
      <w:sz w:val="20"/>
      <w:szCs w:val="20"/>
      <w:u w:val="none"/>
    </w:rPr>
  </w:style>
  <w:style w:type="character" w:customStyle="1" w:styleId="11">
    <w:name w:val="font01"/>
    <w:basedOn w:val="5"/>
    <w:qFormat/>
    <w:uiPriority w:val="0"/>
    <w:rPr>
      <w:rFonts w:hint="default" w:ascii="Times New Roman" w:hAnsi="Times New Roman" w:cs="Times New Roman"/>
      <w:color w:val="000000"/>
      <w:sz w:val="20"/>
      <w:szCs w:val="20"/>
      <w:u w:val="none"/>
    </w:rPr>
  </w:style>
  <w:style w:type="character" w:customStyle="1" w:styleId="12">
    <w:name w:val="font71"/>
    <w:basedOn w:val="5"/>
    <w:qFormat/>
    <w:uiPriority w:val="0"/>
    <w:rPr>
      <w:rFonts w:hint="eastAsia" w:ascii="宋体" w:hAnsi="宋体" w:eastAsia="宋体" w:cs="宋体"/>
      <w:color w:val="000000"/>
      <w:sz w:val="20"/>
      <w:szCs w:val="20"/>
      <w:u w:val="none"/>
    </w:rPr>
  </w:style>
  <w:style w:type="character" w:customStyle="1" w:styleId="13">
    <w:name w:val="font61"/>
    <w:basedOn w:val="5"/>
    <w:qFormat/>
    <w:uiPriority w:val="0"/>
    <w:rPr>
      <w:rFonts w:hint="eastAsia" w:ascii="宋体" w:hAnsi="宋体" w:eastAsia="宋体" w:cs="宋体"/>
      <w:color w:val="444444"/>
      <w:sz w:val="21"/>
      <w:szCs w:val="21"/>
      <w:u w:val="none"/>
    </w:rPr>
  </w:style>
  <w:style w:type="character" w:customStyle="1" w:styleId="14">
    <w:name w:val="font41"/>
    <w:basedOn w:val="5"/>
    <w:qFormat/>
    <w:uiPriority w:val="0"/>
    <w:rPr>
      <w:rFonts w:hint="default" w:ascii="Times New Roman" w:hAnsi="Times New Roman" w:cs="Times New Roman"/>
      <w:color w:val="0D1E0F"/>
      <w:sz w:val="21"/>
      <w:szCs w:val="21"/>
      <w:u w:val="none"/>
    </w:rPr>
  </w:style>
  <w:style w:type="character" w:customStyle="1" w:styleId="15">
    <w:name w:val="font21"/>
    <w:basedOn w:val="5"/>
    <w:qFormat/>
    <w:uiPriority w:val="0"/>
    <w:rPr>
      <w:rFonts w:hint="eastAsia" w:ascii="宋体" w:hAnsi="宋体" w:eastAsia="宋体" w:cs="宋体"/>
      <w:color w:val="0D1E0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515</Words>
  <Characters>712</Characters>
  <TotalTime>0</TotalTime>
  <ScaleCrop>false</ScaleCrop>
  <LinksUpToDate>false</LinksUpToDate>
  <CharactersWithSpaces>739</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2017-07-20T05:16:00Z</dcterms:created>
  <dc:creator>黄金华</dc:creator>
  <cp:lastModifiedBy>^L雯T^</cp:lastModifiedBy>
  <dcterms:modified xsi:type="dcterms:W3CDTF">2026-05-09T09:06:04Z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3BFB20B3DC49484F9B38DA94FF584596_13</vt:lpwstr>
  </property>
  <property fmtid="{D5CDD505-2E9C-101B-9397-08002B2CF9AE}" pid="4" name="KSOTemplateDocerSaveRecord">
    <vt:lpwstr>eyJoZGlkIjoiMTFkOGU4ZWRkMDU4ZWExYTZlM2JhMzQzN2E2YWU0NjEiLCJ1c2VySWQiOiI2MDg0NDk1NTYifQ==</vt:lpwstr>
  </property>
</Properties>
</file>