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52541">
      <w:pPr>
        <w:spacing w:before="111" w:line="218" w:lineRule="auto"/>
        <w:jc w:val="center"/>
        <w:rPr>
          <w:rFonts w:hint="eastAsia" w:ascii="宋体" w:hAnsi="宋体" w:eastAsia="宋体" w:cs="宋体"/>
          <w:b/>
          <w:bCs/>
          <w:spacing w:val="15"/>
          <w:sz w:val="34"/>
          <w:szCs w:val="34"/>
          <w:lang w:eastAsia="zh-CN"/>
        </w:rPr>
      </w:pPr>
      <w:r>
        <w:rPr>
          <w:rFonts w:hint="eastAsia" w:ascii="宋体" w:hAnsi="宋体" w:eastAsia="宋体" w:cs="宋体"/>
          <w:b/>
          <w:bCs/>
          <w:spacing w:val="15"/>
          <w:sz w:val="34"/>
          <w:szCs w:val="34"/>
          <w:lang w:eastAsia="zh-CN"/>
        </w:rPr>
        <w:t>齐齐哈尔医学院硕士学位论文开题报告公告</w:t>
      </w:r>
    </w:p>
    <w:p w14:paraId="7E132106">
      <w:pPr>
        <w:kinsoku/>
        <w:autoSpaceDE/>
        <w:autoSpaceDN/>
        <w:spacing w:after="200" w:line="480" w:lineRule="exact"/>
        <w:textAlignment w:val="auto"/>
        <w:rPr>
          <w:rFonts w:hint="eastAsia" w:ascii="宋体" w:hAnsi="宋体" w:eastAsia="宋体" w:cs="Tahoma"/>
          <w:snapToGrid/>
          <w:color w:val="auto"/>
          <w:sz w:val="27"/>
          <w:szCs w:val="27"/>
          <w:lang w:eastAsia="zh-CN"/>
        </w:rPr>
      </w:pPr>
      <w:r>
        <w:rPr>
          <w:rFonts w:hint="eastAsia" w:ascii="宋体" w:hAnsi="宋体" w:eastAsia="宋体" w:cs="Tahoma"/>
          <w:snapToGrid/>
          <w:color w:val="auto"/>
          <w:sz w:val="27"/>
          <w:szCs w:val="27"/>
          <w:lang w:eastAsia="zh-CN"/>
        </w:rPr>
        <w:t>二级学院：公共卫生学院</w:t>
      </w:r>
      <w:r>
        <w:rPr>
          <w:rFonts w:ascii="宋体" w:hAnsi="宋体" w:eastAsia="宋体" w:cs="Tahoma"/>
          <w:snapToGrid/>
          <w:color w:val="auto"/>
          <w:sz w:val="27"/>
          <w:szCs w:val="27"/>
          <w:lang w:eastAsia="zh-CN"/>
        </w:rPr>
        <w:t xml:space="preserve">                                           </w:t>
      </w:r>
      <w:r>
        <w:rPr>
          <w:rFonts w:hint="eastAsia" w:ascii="宋体" w:hAnsi="宋体" w:eastAsia="宋体" w:cs="Tahoma"/>
          <w:snapToGrid/>
          <w:color w:val="auto"/>
          <w:sz w:val="27"/>
          <w:szCs w:val="27"/>
          <w:lang w:eastAsia="zh-CN"/>
        </w:rPr>
        <w:t xml:space="preserve">     </w:t>
      </w:r>
      <w:r>
        <w:rPr>
          <w:rFonts w:ascii="宋体" w:hAnsi="宋体" w:eastAsia="宋体" w:cs="Tahoma"/>
          <w:snapToGrid/>
          <w:color w:val="auto"/>
          <w:sz w:val="27"/>
          <w:szCs w:val="27"/>
          <w:lang w:eastAsia="zh-CN"/>
        </w:rPr>
        <w:t xml:space="preserve">          </w:t>
      </w:r>
      <w:r>
        <w:rPr>
          <w:rFonts w:hint="eastAsia" w:ascii="宋体" w:hAnsi="宋体" w:eastAsia="宋体" w:cs="Tahoma"/>
          <w:snapToGrid/>
          <w:color w:val="auto"/>
          <w:sz w:val="27"/>
          <w:szCs w:val="27"/>
          <w:lang w:eastAsia="zh-CN"/>
        </w:rPr>
        <w:t>日期：</w:t>
      </w:r>
      <w:r>
        <w:rPr>
          <w:rFonts w:hint="eastAsia" w:ascii="宋体" w:hAnsi="宋体" w:eastAsia="宋体" w:cs="Tahoma"/>
          <w:snapToGrid/>
          <w:color w:val="auto"/>
          <w:sz w:val="27"/>
          <w:szCs w:val="27"/>
          <w:lang w:val="en-US" w:eastAsia="zh-CN"/>
        </w:rPr>
        <w:t>2026</w:t>
      </w:r>
      <w:r>
        <w:rPr>
          <w:rFonts w:hint="eastAsia" w:ascii="宋体" w:hAnsi="宋体" w:eastAsia="宋体" w:cs="Tahoma"/>
          <w:snapToGrid/>
          <w:color w:val="auto"/>
          <w:sz w:val="27"/>
          <w:szCs w:val="27"/>
          <w:lang w:eastAsia="zh-CN"/>
        </w:rPr>
        <w:t>年</w:t>
      </w:r>
      <w:r>
        <w:rPr>
          <w:rFonts w:hint="eastAsia" w:ascii="宋体" w:hAnsi="宋体" w:eastAsia="宋体" w:cs="Tahoma"/>
          <w:snapToGrid/>
          <w:color w:val="auto"/>
          <w:sz w:val="27"/>
          <w:szCs w:val="27"/>
          <w:lang w:val="en-US" w:eastAsia="zh-CN"/>
        </w:rPr>
        <w:t>5</w:t>
      </w:r>
      <w:r>
        <w:rPr>
          <w:rFonts w:hint="eastAsia" w:ascii="宋体" w:hAnsi="宋体" w:eastAsia="宋体" w:cs="Tahoma"/>
          <w:snapToGrid/>
          <w:color w:val="auto"/>
          <w:sz w:val="27"/>
          <w:szCs w:val="27"/>
          <w:lang w:eastAsia="zh-CN"/>
        </w:rPr>
        <w:t>月</w:t>
      </w:r>
      <w:r>
        <w:rPr>
          <w:rFonts w:hint="eastAsia" w:ascii="宋体" w:hAnsi="宋体" w:eastAsia="宋体" w:cs="Tahoma"/>
          <w:snapToGrid/>
          <w:color w:val="auto"/>
          <w:sz w:val="27"/>
          <w:szCs w:val="27"/>
          <w:lang w:val="en-US" w:eastAsia="zh-CN"/>
        </w:rPr>
        <w:t>27</w:t>
      </w:r>
      <w:r>
        <w:rPr>
          <w:rFonts w:hint="eastAsia" w:ascii="宋体" w:hAnsi="宋体" w:eastAsia="宋体" w:cs="Tahoma"/>
          <w:snapToGrid/>
          <w:color w:val="auto"/>
          <w:sz w:val="27"/>
          <w:szCs w:val="27"/>
          <w:lang w:eastAsia="zh-CN"/>
        </w:rPr>
        <w:t>日</w:t>
      </w:r>
    </w:p>
    <w:tbl>
      <w:tblPr>
        <w:tblStyle w:val="3"/>
        <w:tblW w:w="1451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3"/>
        <w:gridCol w:w="1560"/>
        <w:gridCol w:w="1177"/>
        <w:gridCol w:w="1658"/>
        <w:gridCol w:w="1842"/>
        <w:gridCol w:w="2127"/>
        <w:gridCol w:w="3543"/>
        <w:gridCol w:w="1617"/>
      </w:tblGrid>
      <w:tr w14:paraId="50ED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rPr>
        <w:tc>
          <w:tcPr>
            <w:tcW w:w="993" w:type="dxa"/>
            <w:tcMar>
              <w:top w:w="0" w:type="dxa"/>
              <w:left w:w="108" w:type="dxa"/>
              <w:bottom w:w="0" w:type="dxa"/>
              <w:right w:w="108" w:type="dxa"/>
            </w:tcMar>
            <w:vAlign w:val="center"/>
          </w:tcPr>
          <w:p w14:paraId="3EE6F178">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序号</w:t>
            </w:r>
          </w:p>
        </w:tc>
        <w:tc>
          <w:tcPr>
            <w:tcW w:w="1560" w:type="dxa"/>
            <w:tcMar>
              <w:top w:w="0" w:type="dxa"/>
              <w:left w:w="108" w:type="dxa"/>
              <w:bottom w:w="0" w:type="dxa"/>
              <w:right w:w="108" w:type="dxa"/>
            </w:tcMar>
            <w:vAlign w:val="center"/>
          </w:tcPr>
          <w:p w14:paraId="3CCA6009">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学号</w:t>
            </w:r>
          </w:p>
        </w:tc>
        <w:tc>
          <w:tcPr>
            <w:tcW w:w="1177" w:type="dxa"/>
            <w:tcMar>
              <w:top w:w="0" w:type="dxa"/>
              <w:left w:w="108" w:type="dxa"/>
              <w:bottom w:w="0" w:type="dxa"/>
              <w:right w:w="108" w:type="dxa"/>
            </w:tcMar>
            <w:vAlign w:val="center"/>
          </w:tcPr>
          <w:p w14:paraId="3AD31223">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报告人</w:t>
            </w:r>
          </w:p>
          <w:p w14:paraId="4E6B8C86">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姓名</w:t>
            </w:r>
          </w:p>
        </w:tc>
        <w:tc>
          <w:tcPr>
            <w:tcW w:w="1658" w:type="dxa"/>
            <w:tcMar>
              <w:top w:w="0" w:type="dxa"/>
              <w:left w:w="108" w:type="dxa"/>
              <w:bottom w:w="0" w:type="dxa"/>
              <w:right w:w="108" w:type="dxa"/>
            </w:tcMar>
            <w:vAlign w:val="center"/>
          </w:tcPr>
          <w:p w14:paraId="0EFAD948">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导师</w:t>
            </w:r>
          </w:p>
          <w:p w14:paraId="486E6883">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姓名</w:t>
            </w:r>
          </w:p>
        </w:tc>
        <w:tc>
          <w:tcPr>
            <w:tcW w:w="1842" w:type="dxa"/>
            <w:tcMar>
              <w:top w:w="0" w:type="dxa"/>
              <w:left w:w="108" w:type="dxa"/>
              <w:bottom w:w="0" w:type="dxa"/>
              <w:right w:w="108" w:type="dxa"/>
            </w:tcMar>
            <w:vAlign w:val="center"/>
          </w:tcPr>
          <w:p w14:paraId="4EAC3CC2">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开题报告时间</w:t>
            </w:r>
          </w:p>
        </w:tc>
        <w:tc>
          <w:tcPr>
            <w:tcW w:w="2127" w:type="dxa"/>
            <w:tcMar>
              <w:top w:w="0" w:type="dxa"/>
              <w:left w:w="108" w:type="dxa"/>
              <w:bottom w:w="0" w:type="dxa"/>
              <w:right w:w="108" w:type="dxa"/>
            </w:tcMar>
            <w:vAlign w:val="center"/>
          </w:tcPr>
          <w:p w14:paraId="40A3D025">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开题报告地点</w:t>
            </w:r>
          </w:p>
        </w:tc>
        <w:tc>
          <w:tcPr>
            <w:tcW w:w="3543" w:type="dxa"/>
            <w:tcMar>
              <w:top w:w="0" w:type="dxa"/>
              <w:left w:w="108" w:type="dxa"/>
              <w:bottom w:w="0" w:type="dxa"/>
              <w:right w:w="108" w:type="dxa"/>
            </w:tcMar>
            <w:vAlign w:val="center"/>
          </w:tcPr>
          <w:p w14:paraId="6774E3F8">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学位论文题目</w:t>
            </w:r>
          </w:p>
        </w:tc>
        <w:tc>
          <w:tcPr>
            <w:tcW w:w="1617" w:type="dxa"/>
            <w:vAlign w:val="center"/>
          </w:tcPr>
          <w:p w14:paraId="0A5A9AB5">
            <w:pPr>
              <w:kinsoku/>
              <w:autoSpaceDE/>
              <w:autoSpaceDN/>
              <w:spacing w:line="360" w:lineRule="auto"/>
              <w:jc w:val="center"/>
              <w:textAlignment w:val="auto"/>
              <w:rPr>
                <w:rFonts w:hint="eastAsia" w:ascii="宋体" w:hAnsi="宋体" w:eastAsia="宋体" w:cs="宋体"/>
                <w:b/>
                <w:snapToGrid/>
                <w:color w:val="auto"/>
                <w:sz w:val="24"/>
                <w:szCs w:val="22"/>
                <w:lang w:eastAsia="zh-CN"/>
              </w:rPr>
            </w:pPr>
            <w:r>
              <w:rPr>
                <w:rFonts w:hint="eastAsia" w:ascii="宋体" w:hAnsi="宋体" w:eastAsia="宋体" w:cs="宋体"/>
                <w:b/>
                <w:snapToGrid/>
                <w:color w:val="auto"/>
                <w:sz w:val="24"/>
                <w:szCs w:val="22"/>
                <w:lang w:eastAsia="zh-CN"/>
              </w:rPr>
              <w:t>备注</w:t>
            </w:r>
          </w:p>
        </w:tc>
      </w:tr>
      <w:tr w14:paraId="4263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4B91E72B">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w:t>
            </w:r>
          </w:p>
        </w:tc>
        <w:tc>
          <w:tcPr>
            <w:tcW w:w="1560" w:type="dxa"/>
            <w:tcMar>
              <w:top w:w="0" w:type="dxa"/>
              <w:left w:w="108" w:type="dxa"/>
              <w:bottom w:w="0" w:type="dxa"/>
              <w:right w:w="108" w:type="dxa"/>
            </w:tcMar>
            <w:vAlign w:val="center"/>
          </w:tcPr>
          <w:p w14:paraId="375E303E">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2025220501</w:t>
            </w:r>
          </w:p>
        </w:tc>
        <w:tc>
          <w:tcPr>
            <w:tcW w:w="1177" w:type="dxa"/>
            <w:tcMar>
              <w:top w:w="0" w:type="dxa"/>
              <w:left w:w="108" w:type="dxa"/>
              <w:bottom w:w="0" w:type="dxa"/>
              <w:right w:w="108" w:type="dxa"/>
            </w:tcMar>
            <w:vAlign w:val="center"/>
          </w:tcPr>
          <w:p w14:paraId="336D894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王新朋</w:t>
            </w:r>
          </w:p>
        </w:tc>
        <w:tc>
          <w:tcPr>
            <w:tcW w:w="1658" w:type="dxa"/>
            <w:tcMar>
              <w:top w:w="0" w:type="dxa"/>
              <w:left w:w="108" w:type="dxa"/>
              <w:bottom w:w="0" w:type="dxa"/>
              <w:right w:w="108" w:type="dxa"/>
            </w:tcMar>
            <w:vAlign w:val="center"/>
          </w:tcPr>
          <w:p w14:paraId="0C38189A">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裴俊瑞</w:t>
            </w:r>
          </w:p>
        </w:tc>
        <w:tc>
          <w:tcPr>
            <w:tcW w:w="1842" w:type="dxa"/>
            <w:tcMar>
              <w:top w:w="0" w:type="dxa"/>
              <w:left w:w="108" w:type="dxa"/>
              <w:bottom w:w="0" w:type="dxa"/>
              <w:right w:w="108" w:type="dxa"/>
            </w:tcMar>
            <w:vAlign w:val="center"/>
          </w:tcPr>
          <w:p w14:paraId="5F147B13">
            <w:pPr>
              <w:kinsoku/>
              <w:autoSpaceDE/>
              <w:autoSpaceDN/>
              <w:spacing w:before="100" w:beforeAutospacing="1" w:after="100" w:afterAutospacing="1"/>
              <w:jc w:val="center"/>
              <w:textAlignment w:val="auto"/>
              <w:rPr>
                <w:rFonts w:hint="default" w:eastAsia="宋体"/>
                <w:snapToGrid/>
                <w:color w:val="auto"/>
                <w:lang w:val="en-US" w:eastAsia="zh-CN"/>
              </w:rPr>
            </w:pPr>
            <w:r>
              <w:rPr>
                <w:rFonts w:hint="eastAsia" w:eastAsia="宋体"/>
                <w:snapToGrid/>
                <w:color w:val="auto"/>
                <w:lang w:val="en-US" w:eastAsia="zh-CN"/>
              </w:rPr>
              <w:t>2026年6月11日</w:t>
            </w:r>
          </w:p>
        </w:tc>
        <w:tc>
          <w:tcPr>
            <w:tcW w:w="2127" w:type="dxa"/>
            <w:shd w:val="clear" w:color="auto" w:fill="auto"/>
            <w:tcMar>
              <w:top w:w="0" w:type="dxa"/>
              <w:left w:w="108" w:type="dxa"/>
              <w:bottom w:w="0" w:type="dxa"/>
              <w:right w:w="108" w:type="dxa"/>
            </w:tcMar>
            <w:vAlign w:val="center"/>
          </w:tcPr>
          <w:p w14:paraId="2FC26B6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509F5703">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黑龙江省布鲁氏菌病时空分布特征及流行趋势预测研究</w:t>
            </w:r>
          </w:p>
        </w:tc>
        <w:tc>
          <w:tcPr>
            <w:tcW w:w="1617" w:type="dxa"/>
            <w:vAlign w:val="center"/>
          </w:tcPr>
          <w:p w14:paraId="0BD9ECF4">
            <w:pPr>
              <w:kinsoku/>
              <w:autoSpaceDE/>
              <w:autoSpaceDN/>
              <w:spacing w:after="200"/>
              <w:jc w:val="center"/>
              <w:textAlignment w:val="auto"/>
              <w:rPr>
                <w:rFonts w:eastAsia="宋体"/>
                <w:snapToGrid/>
                <w:color w:val="auto"/>
                <w:lang w:eastAsia="zh-CN"/>
              </w:rPr>
            </w:pPr>
          </w:p>
        </w:tc>
      </w:tr>
      <w:tr w14:paraId="4157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1126136B">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2</w:t>
            </w:r>
          </w:p>
        </w:tc>
        <w:tc>
          <w:tcPr>
            <w:tcW w:w="1560" w:type="dxa"/>
            <w:tcMar>
              <w:top w:w="0" w:type="dxa"/>
              <w:left w:w="108" w:type="dxa"/>
              <w:bottom w:w="0" w:type="dxa"/>
              <w:right w:w="108" w:type="dxa"/>
            </w:tcMar>
            <w:vAlign w:val="center"/>
          </w:tcPr>
          <w:p w14:paraId="7CC3B0D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2025220502</w:t>
            </w:r>
          </w:p>
        </w:tc>
        <w:tc>
          <w:tcPr>
            <w:tcW w:w="1177" w:type="dxa"/>
            <w:tcMar>
              <w:top w:w="0" w:type="dxa"/>
              <w:left w:w="108" w:type="dxa"/>
              <w:bottom w:w="0" w:type="dxa"/>
              <w:right w:w="108" w:type="dxa"/>
            </w:tcMar>
            <w:vAlign w:val="center"/>
          </w:tcPr>
          <w:p w14:paraId="7A63C7B9">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陈永超</w:t>
            </w:r>
          </w:p>
        </w:tc>
        <w:tc>
          <w:tcPr>
            <w:tcW w:w="1658" w:type="dxa"/>
            <w:tcMar>
              <w:top w:w="0" w:type="dxa"/>
              <w:left w:w="108" w:type="dxa"/>
              <w:bottom w:w="0" w:type="dxa"/>
              <w:right w:w="108" w:type="dxa"/>
            </w:tcMar>
            <w:vAlign w:val="center"/>
          </w:tcPr>
          <w:p w14:paraId="60F1F738">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白丽 王福祥</w:t>
            </w:r>
          </w:p>
        </w:tc>
        <w:tc>
          <w:tcPr>
            <w:tcW w:w="1842" w:type="dxa"/>
            <w:tcMar>
              <w:top w:w="0" w:type="dxa"/>
              <w:left w:w="108" w:type="dxa"/>
              <w:bottom w:w="0" w:type="dxa"/>
              <w:right w:w="108" w:type="dxa"/>
            </w:tcMar>
            <w:vAlign w:val="center"/>
          </w:tcPr>
          <w:p w14:paraId="3DA618A7">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280C9B6E">
            <w:pPr>
              <w:kinsoku/>
              <w:autoSpaceDE/>
              <w:autoSpaceDN/>
              <w:spacing w:after="200"/>
              <w:jc w:val="center"/>
              <w:textAlignment w:val="auto"/>
              <w:rPr>
                <w:rFonts w:hint="default" w:eastAsia="宋体"/>
                <w:snapToGrid/>
                <w:color w:val="auto"/>
                <w:lang w:val="en-US"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06B39FDC">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艾滋病合并</w:t>
            </w:r>
            <w:r>
              <w:rPr>
                <w:rFonts w:eastAsia="宋体"/>
                <w:snapToGrid/>
                <w:color w:val="auto"/>
                <w:lang w:eastAsia="zh-CN"/>
              </w:rPr>
              <w:t>B</w:t>
            </w:r>
            <w:r>
              <w:rPr>
                <w:rFonts w:hint="eastAsia" w:eastAsia="宋体"/>
                <w:snapToGrid/>
                <w:color w:val="auto"/>
                <w:lang w:eastAsia="zh-CN"/>
              </w:rPr>
              <w:t>细胞淋巴瘤疾病演变趋势及风险因素分析</w:t>
            </w:r>
          </w:p>
        </w:tc>
        <w:tc>
          <w:tcPr>
            <w:tcW w:w="1617" w:type="dxa"/>
            <w:vAlign w:val="center"/>
          </w:tcPr>
          <w:p w14:paraId="340866AE">
            <w:pPr>
              <w:kinsoku/>
              <w:autoSpaceDE/>
              <w:autoSpaceDN/>
              <w:spacing w:after="200"/>
              <w:jc w:val="center"/>
              <w:textAlignment w:val="auto"/>
              <w:rPr>
                <w:rFonts w:eastAsia="宋体"/>
                <w:snapToGrid/>
                <w:color w:val="auto"/>
                <w:lang w:eastAsia="zh-CN"/>
              </w:rPr>
            </w:pPr>
          </w:p>
        </w:tc>
      </w:tr>
      <w:tr w14:paraId="65CA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67B9EE38">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3</w:t>
            </w:r>
          </w:p>
        </w:tc>
        <w:tc>
          <w:tcPr>
            <w:tcW w:w="1560" w:type="dxa"/>
            <w:tcMar>
              <w:top w:w="0" w:type="dxa"/>
              <w:left w:w="108" w:type="dxa"/>
              <w:bottom w:w="0" w:type="dxa"/>
              <w:right w:w="108" w:type="dxa"/>
            </w:tcMar>
            <w:vAlign w:val="center"/>
          </w:tcPr>
          <w:p w14:paraId="62F4CEB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2025220503</w:t>
            </w:r>
          </w:p>
        </w:tc>
        <w:tc>
          <w:tcPr>
            <w:tcW w:w="1177" w:type="dxa"/>
            <w:tcMar>
              <w:top w:w="0" w:type="dxa"/>
              <w:left w:w="108" w:type="dxa"/>
              <w:bottom w:w="0" w:type="dxa"/>
              <w:right w:w="108" w:type="dxa"/>
            </w:tcMar>
            <w:vAlign w:val="center"/>
          </w:tcPr>
          <w:p w14:paraId="64AAD2F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于焱</w:t>
            </w:r>
          </w:p>
        </w:tc>
        <w:tc>
          <w:tcPr>
            <w:tcW w:w="1658" w:type="dxa"/>
            <w:tcMar>
              <w:top w:w="0" w:type="dxa"/>
              <w:left w:w="108" w:type="dxa"/>
              <w:bottom w:w="0" w:type="dxa"/>
              <w:right w:w="108" w:type="dxa"/>
            </w:tcMar>
            <w:vAlign w:val="center"/>
          </w:tcPr>
          <w:p w14:paraId="086C2613">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贾月辉</w:t>
            </w:r>
          </w:p>
        </w:tc>
        <w:tc>
          <w:tcPr>
            <w:tcW w:w="1842" w:type="dxa"/>
            <w:tcMar>
              <w:top w:w="0" w:type="dxa"/>
              <w:left w:w="108" w:type="dxa"/>
              <w:bottom w:w="0" w:type="dxa"/>
              <w:right w:w="108" w:type="dxa"/>
            </w:tcMar>
            <w:vAlign w:val="center"/>
          </w:tcPr>
          <w:p w14:paraId="37FD604C">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0E6422B2">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3293CD6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颗粒物污染所致肺癌的疾病负担、分子机制与健康风险评估</w:t>
            </w:r>
          </w:p>
        </w:tc>
        <w:tc>
          <w:tcPr>
            <w:tcW w:w="1617" w:type="dxa"/>
            <w:vAlign w:val="center"/>
          </w:tcPr>
          <w:p w14:paraId="6B3B8783">
            <w:pPr>
              <w:kinsoku/>
              <w:autoSpaceDE/>
              <w:autoSpaceDN/>
              <w:spacing w:after="200"/>
              <w:jc w:val="center"/>
              <w:textAlignment w:val="auto"/>
              <w:rPr>
                <w:rFonts w:eastAsia="宋体"/>
                <w:snapToGrid/>
                <w:color w:val="auto"/>
                <w:lang w:eastAsia="zh-CN"/>
              </w:rPr>
            </w:pPr>
          </w:p>
        </w:tc>
      </w:tr>
      <w:tr w14:paraId="3A36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27C48291">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4</w:t>
            </w:r>
          </w:p>
        </w:tc>
        <w:tc>
          <w:tcPr>
            <w:tcW w:w="1560" w:type="dxa"/>
            <w:tcMar>
              <w:top w:w="0" w:type="dxa"/>
              <w:left w:w="108" w:type="dxa"/>
              <w:bottom w:w="0" w:type="dxa"/>
              <w:right w:w="108" w:type="dxa"/>
            </w:tcMar>
            <w:vAlign w:val="center"/>
          </w:tcPr>
          <w:p w14:paraId="38D1B7AA">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2025220504</w:t>
            </w:r>
          </w:p>
        </w:tc>
        <w:tc>
          <w:tcPr>
            <w:tcW w:w="1177" w:type="dxa"/>
            <w:tcMar>
              <w:top w:w="0" w:type="dxa"/>
              <w:left w:w="108" w:type="dxa"/>
              <w:bottom w:w="0" w:type="dxa"/>
              <w:right w:w="108" w:type="dxa"/>
            </w:tcMar>
            <w:vAlign w:val="center"/>
          </w:tcPr>
          <w:p w14:paraId="607FB711">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吕莹莹</w:t>
            </w:r>
          </w:p>
        </w:tc>
        <w:tc>
          <w:tcPr>
            <w:tcW w:w="1658" w:type="dxa"/>
            <w:tcMar>
              <w:top w:w="0" w:type="dxa"/>
              <w:left w:w="108" w:type="dxa"/>
              <w:bottom w:w="0" w:type="dxa"/>
              <w:right w:w="108" w:type="dxa"/>
            </w:tcMar>
            <w:vAlign w:val="center"/>
          </w:tcPr>
          <w:p w14:paraId="1E9EFDDD">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万思源</w:t>
            </w:r>
          </w:p>
        </w:tc>
        <w:tc>
          <w:tcPr>
            <w:tcW w:w="1842" w:type="dxa"/>
            <w:tcMar>
              <w:top w:w="0" w:type="dxa"/>
              <w:left w:w="108" w:type="dxa"/>
              <w:bottom w:w="0" w:type="dxa"/>
              <w:right w:w="108" w:type="dxa"/>
            </w:tcMar>
            <w:vAlign w:val="center"/>
          </w:tcPr>
          <w:p w14:paraId="547DD655">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7A946CEB">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2B235EBF">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PD-L2甲基化在碘缺乏补碘致自身免疫性甲状腺疾病的作用机制研究</w:t>
            </w:r>
          </w:p>
        </w:tc>
        <w:tc>
          <w:tcPr>
            <w:tcW w:w="1617" w:type="dxa"/>
            <w:vAlign w:val="center"/>
          </w:tcPr>
          <w:p w14:paraId="06F6841B">
            <w:pPr>
              <w:kinsoku/>
              <w:autoSpaceDE/>
              <w:autoSpaceDN/>
              <w:spacing w:after="200"/>
              <w:jc w:val="center"/>
              <w:textAlignment w:val="auto"/>
              <w:rPr>
                <w:rFonts w:eastAsia="宋体"/>
                <w:snapToGrid/>
                <w:color w:val="auto"/>
                <w:lang w:eastAsia="zh-CN"/>
              </w:rPr>
            </w:pPr>
          </w:p>
        </w:tc>
      </w:tr>
      <w:tr w14:paraId="2B29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5FB9A6FE">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5</w:t>
            </w:r>
          </w:p>
        </w:tc>
        <w:tc>
          <w:tcPr>
            <w:tcW w:w="1560" w:type="dxa"/>
            <w:tcMar>
              <w:top w:w="0" w:type="dxa"/>
              <w:left w:w="108" w:type="dxa"/>
              <w:bottom w:w="0" w:type="dxa"/>
              <w:right w:w="108" w:type="dxa"/>
            </w:tcMar>
            <w:vAlign w:val="center"/>
          </w:tcPr>
          <w:p w14:paraId="70483E54">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2025220505</w:t>
            </w:r>
          </w:p>
        </w:tc>
        <w:tc>
          <w:tcPr>
            <w:tcW w:w="1177" w:type="dxa"/>
            <w:tcMar>
              <w:top w:w="0" w:type="dxa"/>
              <w:left w:w="108" w:type="dxa"/>
              <w:bottom w:w="0" w:type="dxa"/>
              <w:right w:w="108" w:type="dxa"/>
            </w:tcMar>
            <w:vAlign w:val="center"/>
          </w:tcPr>
          <w:p w14:paraId="1E8C177A">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李杭旭</w:t>
            </w:r>
          </w:p>
        </w:tc>
        <w:tc>
          <w:tcPr>
            <w:tcW w:w="1658" w:type="dxa"/>
            <w:tcMar>
              <w:top w:w="0" w:type="dxa"/>
              <w:left w:w="108" w:type="dxa"/>
              <w:bottom w:w="0" w:type="dxa"/>
              <w:right w:w="108" w:type="dxa"/>
            </w:tcMar>
            <w:vAlign w:val="center"/>
          </w:tcPr>
          <w:p w14:paraId="7F6D59A4">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秦嫘</w:t>
            </w:r>
          </w:p>
        </w:tc>
        <w:tc>
          <w:tcPr>
            <w:tcW w:w="1842" w:type="dxa"/>
            <w:tcMar>
              <w:top w:w="0" w:type="dxa"/>
              <w:left w:w="108" w:type="dxa"/>
              <w:bottom w:w="0" w:type="dxa"/>
              <w:right w:w="108" w:type="dxa"/>
            </w:tcMar>
            <w:vAlign w:val="center"/>
          </w:tcPr>
          <w:p w14:paraId="2114DCDE">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386A06E4">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5697354A">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基于大鼠模型的PS/DEHP联合暴露致肾脏铁死亡及炎症机制研究</w:t>
            </w:r>
          </w:p>
        </w:tc>
        <w:tc>
          <w:tcPr>
            <w:tcW w:w="1617" w:type="dxa"/>
            <w:vAlign w:val="center"/>
          </w:tcPr>
          <w:p w14:paraId="01E43745">
            <w:pPr>
              <w:kinsoku/>
              <w:autoSpaceDE/>
              <w:autoSpaceDN/>
              <w:spacing w:after="200"/>
              <w:jc w:val="center"/>
              <w:textAlignment w:val="auto"/>
              <w:rPr>
                <w:rFonts w:eastAsia="宋体"/>
                <w:snapToGrid/>
                <w:color w:val="auto"/>
                <w:lang w:eastAsia="zh-CN"/>
              </w:rPr>
            </w:pPr>
          </w:p>
        </w:tc>
      </w:tr>
      <w:tr w14:paraId="5BEA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6116C80A">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6</w:t>
            </w:r>
          </w:p>
        </w:tc>
        <w:tc>
          <w:tcPr>
            <w:tcW w:w="1560" w:type="dxa"/>
            <w:tcMar>
              <w:top w:w="0" w:type="dxa"/>
              <w:left w:w="108" w:type="dxa"/>
              <w:bottom w:w="0" w:type="dxa"/>
              <w:right w:w="108" w:type="dxa"/>
            </w:tcMar>
            <w:vAlign w:val="center"/>
          </w:tcPr>
          <w:p w14:paraId="42050239">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2025220506</w:t>
            </w:r>
          </w:p>
        </w:tc>
        <w:tc>
          <w:tcPr>
            <w:tcW w:w="1177" w:type="dxa"/>
            <w:tcMar>
              <w:top w:w="0" w:type="dxa"/>
              <w:left w:w="108" w:type="dxa"/>
              <w:bottom w:w="0" w:type="dxa"/>
              <w:right w:w="108" w:type="dxa"/>
            </w:tcMar>
            <w:vAlign w:val="center"/>
          </w:tcPr>
          <w:p w14:paraId="55330F5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孙盼盼</w:t>
            </w:r>
          </w:p>
        </w:tc>
        <w:tc>
          <w:tcPr>
            <w:tcW w:w="1658" w:type="dxa"/>
            <w:tcMar>
              <w:top w:w="0" w:type="dxa"/>
              <w:left w:w="108" w:type="dxa"/>
              <w:bottom w:w="0" w:type="dxa"/>
              <w:right w:w="108" w:type="dxa"/>
            </w:tcMar>
            <w:vAlign w:val="center"/>
          </w:tcPr>
          <w:p w14:paraId="22E02CC9">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谢志平 孙丽艳</w:t>
            </w:r>
          </w:p>
        </w:tc>
        <w:tc>
          <w:tcPr>
            <w:tcW w:w="1842" w:type="dxa"/>
            <w:tcMar>
              <w:top w:w="0" w:type="dxa"/>
              <w:left w:w="108" w:type="dxa"/>
              <w:bottom w:w="0" w:type="dxa"/>
              <w:right w:w="108" w:type="dxa"/>
            </w:tcMar>
            <w:vAlign w:val="center"/>
          </w:tcPr>
          <w:p w14:paraId="0D22ECFF">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0FEA9B2D">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364FCB17">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雷公藤红素抑制滑膜成纤维细胞焦亡减轻类风湿性关节炎的机制研究</w:t>
            </w:r>
          </w:p>
        </w:tc>
        <w:tc>
          <w:tcPr>
            <w:tcW w:w="1617" w:type="dxa"/>
            <w:vAlign w:val="center"/>
          </w:tcPr>
          <w:p w14:paraId="2E2EFE9C">
            <w:pPr>
              <w:kinsoku/>
              <w:autoSpaceDE/>
              <w:autoSpaceDN/>
              <w:spacing w:after="200"/>
              <w:jc w:val="center"/>
              <w:textAlignment w:val="auto"/>
              <w:rPr>
                <w:rFonts w:eastAsia="宋体"/>
                <w:snapToGrid/>
                <w:color w:val="auto"/>
                <w:lang w:eastAsia="zh-CN"/>
              </w:rPr>
            </w:pPr>
            <w:bookmarkStart w:id="0" w:name="_GoBack"/>
            <w:bookmarkEnd w:id="0"/>
          </w:p>
        </w:tc>
      </w:tr>
      <w:tr w14:paraId="22D9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trPr>
        <w:tc>
          <w:tcPr>
            <w:tcW w:w="993" w:type="dxa"/>
            <w:tcMar>
              <w:top w:w="0" w:type="dxa"/>
              <w:left w:w="108" w:type="dxa"/>
              <w:bottom w:w="0" w:type="dxa"/>
              <w:right w:w="108" w:type="dxa"/>
            </w:tcMar>
            <w:vAlign w:val="center"/>
          </w:tcPr>
          <w:p w14:paraId="4A20C380">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7</w:t>
            </w:r>
          </w:p>
        </w:tc>
        <w:tc>
          <w:tcPr>
            <w:tcW w:w="1560" w:type="dxa"/>
            <w:tcMar>
              <w:top w:w="0" w:type="dxa"/>
              <w:left w:w="108" w:type="dxa"/>
              <w:bottom w:w="0" w:type="dxa"/>
              <w:right w:w="108" w:type="dxa"/>
            </w:tcMar>
            <w:vAlign w:val="center"/>
          </w:tcPr>
          <w:p w14:paraId="65F8E183">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2025220507</w:t>
            </w:r>
          </w:p>
        </w:tc>
        <w:tc>
          <w:tcPr>
            <w:tcW w:w="1177" w:type="dxa"/>
            <w:tcMar>
              <w:top w:w="0" w:type="dxa"/>
              <w:left w:w="108" w:type="dxa"/>
              <w:bottom w:w="0" w:type="dxa"/>
              <w:right w:w="108" w:type="dxa"/>
            </w:tcMar>
            <w:vAlign w:val="center"/>
          </w:tcPr>
          <w:p w14:paraId="17F03A88">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王瑞启</w:t>
            </w:r>
          </w:p>
        </w:tc>
        <w:tc>
          <w:tcPr>
            <w:tcW w:w="1658" w:type="dxa"/>
            <w:tcMar>
              <w:top w:w="0" w:type="dxa"/>
              <w:left w:w="108" w:type="dxa"/>
              <w:bottom w:w="0" w:type="dxa"/>
              <w:right w:w="108" w:type="dxa"/>
            </w:tcMar>
            <w:vAlign w:val="center"/>
          </w:tcPr>
          <w:p w14:paraId="76022202">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钞虹</w:t>
            </w:r>
          </w:p>
        </w:tc>
        <w:tc>
          <w:tcPr>
            <w:tcW w:w="1842" w:type="dxa"/>
            <w:tcMar>
              <w:top w:w="0" w:type="dxa"/>
              <w:left w:w="108" w:type="dxa"/>
              <w:bottom w:w="0" w:type="dxa"/>
              <w:right w:w="108" w:type="dxa"/>
            </w:tcMar>
            <w:vAlign w:val="center"/>
          </w:tcPr>
          <w:p w14:paraId="4ADFA62E">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00F70B81">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208110B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齐齐哈尔农村地区老年人甲状腺功能、代谢指标及MAPK通路相关基因的关联研究</w:t>
            </w:r>
          </w:p>
        </w:tc>
        <w:tc>
          <w:tcPr>
            <w:tcW w:w="1617" w:type="dxa"/>
            <w:vAlign w:val="center"/>
          </w:tcPr>
          <w:p w14:paraId="126AB61E">
            <w:pPr>
              <w:kinsoku/>
              <w:autoSpaceDE/>
              <w:autoSpaceDN/>
              <w:spacing w:after="200"/>
              <w:jc w:val="center"/>
              <w:textAlignment w:val="auto"/>
              <w:rPr>
                <w:rFonts w:eastAsia="宋体"/>
                <w:snapToGrid/>
                <w:color w:val="auto"/>
                <w:lang w:eastAsia="zh-CN"/>
              </w:rPr>
            </w:pPr>
          </w:p>
        </w:tc>
      </w:tr>
      <w:tr w14:paraId="1106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051FBDCC">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8</w:t>
            </w:r>
          </w:p>
        </w:tc>
        <w:tc>
          <w:tcPr>
            <w:tcW w:w="1560" w:type="dxa"/>
            <w:tcMar>
              <w:top w:w="0" w:type="dxa"/>
              <w:left w:w="108" w:type="dxa"/>
              <w:bottom w:w="0" w:type="dxa"/>
              <w:right w:w="108" w:type="dxa"/>
            </w:tcMar>
            <w:vAlign w:val="center"/>
          </w:tcPr>
          <w:p w14:paraId="2DC0F511">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2025220508</w:t>
            </w:r>
          </w:p>
        </w:tc>
        <w:tc>
          <w:tcPr>
            <w:tcW w:w="1177" w:type="dxa"/>
            <w:tcMar>
              <w:top w:w="0" w:type="dxa"/>
              <w:left w:w="108" w:type="dxa"/>
              <w:bottom w:w="0" w:type="dxa"/>
              <w:right w:w="108" w:type="dxa"/>
            </w:tcMar>
            <w:vAlign w:val="center"/>
          </w:tcPr>
          <w:p w14:paraId="5E8666FA">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熊梦婷</w:t>
            </w:r>
          </w:p>
        </w:tc>
        <w:tc>
          <w:tcPr>
            <w:tcW w:w="1658" w:type="dxa"/>
            <w:tcMar>
              <w:top w:w="0" w:type="dxa"/>
              <w:left w:w="108" w:type="dxa"/>
              <w:bottom w:w="0" w:type="dxa"/>
              <w:right w:w="108" w:type="dxa"/>
            </w:tcMar>
            <w:vAlign w:val="center"/>
          </w:tcPr>
          <w:p w14:paraId="65296630">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齐磊</w:t>
            </w:r>
          </w:p>
        </w:tc>
        <w:tc>
          <w:tcPr>
            <w:tcW w:w="1842" w:type="dxa"/>
            <w:tcMar>
              <w:top w:w="0" w:type="dxa"/>
              <w:left w:w="108" w:type="dxa"/>
              <w:bottom w:w="0" w:type="dxa"/>
              <w:right w:w="108" w:type="dxa"/>
            </w:tcMar>
            <w:vAlign w:val="center"/>
          </w:tcPr>
          <w:p w14:paraId="00422E09">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05ECC6A5">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678D645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基于单细胞测序方法的草甘膦生殖毒性研究</w:t>
            </w:r>
          </w:p>
        </w:tc>
        <w:tc>
          <w:tcPr>
            <w:tcW w:w="1617" w:type="dxa"/>
            <w:vAlign w:val="center"/>
          </w:tcPr>
          <w:p w14:paraId="364F0887">
            <w:pPr>
              <w:kinsoku/>
              <w:autoSpaceDE/>
              <w:autoSpaceDN/>
              <w:spacing w:before="100" w:beforeAutospacing="1" w:after="100" w:afterAutospacing="1"/>
              <w:jc w:val="center"/>
              <w:textAlignment w:val="auto"/>
              <w:rPr>
                <w:rFonts w:eastAsia="宋体"/>
                <w:snapToGrid/>
                <w:color w:val="auto"/>
                <w:lang w:eastAsia="zh-CN"/>
              </w:rPr>
            </w:pPr>
          </w:p>
        </w:tc>
      </w:tr>
      <w:tr w14:paraId="3764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565E7EE3">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9</w:t>
            </w:r>
          </w:p>
        </w:tc>
        <w:tc>
          <w:tcPr>
            <w:tcW w:w="1560" w:type="dxa"/>
            <w:tcMar>
              <w:top w:w="0" w:type="dxa"/>
              <w:left w:w="108" w:type="dxa"/>
              <w:bottom w:w="0" w:type="dxa"/>
              <w:right w:w="108" w:type="dxa"/>
            </w:tcMar>
            <w:vAlign w:val="center"/>
          </w:tcPr>
          <w:p w14:paraId="0236A4D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2025220509</w:t>
            </w:r>
          </w:p>
        </w:tc>
        <w:tc>
          <w:tcPr>
            <w:tcW w:w="1177" w:type="dxa"/>
            <w:tcMar>
              <w:top w:w="0" w:type="dxa"/>
              <w:left w:w="108" w:type="dxa"/>
              <w:bottom w:w="0" w:type="dxa"/>
              <w:right w:w="108" w:type="dxa"/>
            </w:tcMar>
            <w:vAlign w:val="center"/>
          </w:tcPr>
          <w:p w14:paraId="055E351B">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王思文</w:t>
            </w:r>
          </w:p>
        </w:tc>
        <w:tc>
          <w:tcPr>
            <w:tcW w:w="1658" w:type="dxa"/>
            <w:tcMar>
              <w:top w:w="0" w:type="dxa"/>
              <w:left w:w="108" w:type="dxa"/>
              <w:bottom w:w="0" w:type="dxa"/>
              <w:right w:w="108" w:type="dxa"/>
            </w:tcMar>
            <w:vAlign w:val="center"/>
          </w:tcPr>
          <w:p w14:paraId="0A28095B">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董艳梅</w:t>
            </w:r>
          </w:p>
        </w:tc>
        <w:tc>
          <w:tcPr>
            <w:tcW w:w="1842" w:type="dxa"/>
            <w:tcMar>
              <w:top w:w="0" w:type="dxa"/>
              <w:left w:w="108" w:type="dxa"/>
              <w:bottom w:w="0" w:type="dxa"/>
              <w:right w:w="108" w:type="dxa"/>
            </w:tcMar>
            <w:vAlign w:val="center"/>
          </w:tcPr>
          <w:p w14:paraId="3CFBA989">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1DA3D447">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31135CC5">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SIRT1信号通路介导的齐墩果酸纠正小鼠成年肥胖的机制</w:t>
            </w:r>
          </w:p>
        </w:tc>
        <w:tc>
          <w:tcPr>
            <w:tcW w:w="1617" w:type="dxa"/>
            <w:vAlign w:val="center"/>
          </w:tcPr>
          <w:p w14:paraId="4EDAB527">
            <w:pPr>
              <w:kinsoku/>
              <w:autoSpaceDE/>
              <w:autoSpaceDN/>
              <w:spacing w:before="100" w:beforeAutospacing="1" w:after="100" w:afterAutospacing="1"/>
              <w:jc w:val="center"/>
              <w:textAlignment w:val="auto"/>
              <w:rPr>
                <w:rFonts w:eastAsia="宋体"/>
                <w:snapToGrid/>
                <w:color w:val="auto"/>
                <w:lang w:eastAsia="zh-CN"/>
              </w:rPr>
            </w:pPr>
          </w:p>
        </w:tc>
      </w:tr>
      <w:tr w14:paraId="746F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993" w:type="dxa"/>
            <w:tcMar>
              <w:top w:w="0" w:type="dxa"/>
              <w:left w:w="108" w:type="dxa"/>
              <w:bottom w:w="0" w:type="dxa"/>
              <w:right w:w="108" w:type="dxa"/>
            </w:tcMar>
            <w:vAlign w:val="center"/>
          </w:tcPr>
          <w:p w14:paraId="24C66FBE">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10</w:t>
            </w:r>
          </w:p>
        </w:tc>
        <w:tc>
          <w:tcPr>
            <w:tcW w:w="1560" w:type="dxa"/>
            <w:tcMar>
              <w:top w:w="0" w:type="dxa"/>
              <w:left w:w="108" w:type="dxa"/>
              <w:bottom w:w="0" w:type="dxa"/>
              <w:right w:w="108" w:type="dxa"/>
            </w:tcMar>
            <w:vAlign w:val="center"/>
          </w:tcPr>
          <w:p w14:paraId="6BB9A543">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2025220510</w:t>
            </w:r>
          </w:p>
        </w:tc>
        <w:tc>
          <w:tcPr>
            <w:tcW w:w="1177" w:type="dxa"/>
            <w:tcMar>
              <w:top w:w="0" w:type="dxa"/>
              <w:left w:w="108" w:type="dxa"/>
              <w:bottom w:w="0" w:type="dxa"/>
              <w:right w:w="108" w:type="dxa"/>
            </w:tcMar>
            <w:vAlign w:val="center"/>
          </w:tcPr>
          <w:p w14:paraId="4C05E1FE">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郭佳状</w:t>
            </w:r>
          </w:p>
        </w:tc>
        <w:tc>
          <w:tcPr>
            <w:tcW w:w="1658" w:type="dxa"/>
            <w:tcMar>
              <w:top w:w="0" w:type="dxa"/>
              <w:left w:w="108" w:type="dxa"/>
              <w:bottom w:w="0" w:type="dxa"/>
              <w:right w:w="108" w:type="dxa"/>
            </w:tcMar>
            <w:vAlign w:val="center"/>
          </w:tcPr>
          <w:p w14:paraId="18BBA16C">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金佰明</w:t>
            </w:r>
          </w:p>
        </w:tc>
        <w:tc>
          <w:tcPr>
            <w:tcW w:w="1842" w:type="dxa"/>
            <w:tcMar>
              <w:top w:w="0" w:type="dxa"/>
              <w:left w:w="108" w:type="dxa"/>
              <w:bottom w:w="0" w:type="dxa"/>
              <w:right w:w="108" w:type="dxa"/>
            </w:tcMar>
            <w:vAlign w:val="center"/>
          </w:tcPr>
          <w:p w14:paraId="712C5F08">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4E46BBF4">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0AA557D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PD-L2甲基化介导地西他滨改善碘诱导自身免疫性甲状腺炎外周免疫耐受失衡的机制研究</w:t>
            </w:r>
          </w:p>
        </w:tc>
        <w:tc>
          <w:tcPr>
            <w:tcW w:w="1617" w:type="dxa"/>
            <w:vAlign w:val="center"/>
          </w:tcPr>
          <w:p w14:paraId="04275834">
            <w:pPr>
              <w:kinsoku/>
              <w:autoSpaceDE/>
              <w:autoSpaceDN/>
              <w:spacing w:before="100" w:beforeAutospacing="1" w:after="100" w:afterAutospacing="1"/>
              <w:jc w:val="center"/>
              <w:textAlignment w:val="auto"/>
              <w:rPr>
                <w:rFonts w:eastAsia="宋体"/>
                <w:snapToGrid/>
                <w:color w:val="auto"/>
                <w:lang w:eastAsia="zh-CN"/>
              </w:rPr>
            </w:pPr>
          </w:p>
        </w:tc>
      </w:tr>
      <w:tr w14:paraId="5F84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07890161">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11</w:t>
            </w:r>
          </w:p>
        </w:tc>
        <w:tc>
          <w:tcPr>
            <w:tcW w:w="1560" w:type="dxa"/>
            <w:tcMar>
              <w:top w:w="0" w:type="dxa"/>
              <w:left w:w="108" w:type="dxa"/>
              <w:bottom w:w="0" w:type="dxa"/>
              <w:right w:w="108" w:type="dxa"/>
            </w:tcMar>
            <w:vAlign w:val="center"/>
          </w:tcPr>
          <w:p w14:paraId="2E0693B9">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2025220511</w:t>
            </w:r>
          </w:p>
        </w:tc>
        <w:tc>
          <w:tcPr>
            <w:tcW w:w="1177" w:type="dxa"/>
            <w:tcMar>
              <w:top w:w="0" w:type="dxa"/>
              <w:left w:w="108" w:type="dxa"/>
              <w:bottom w:w="0" w:type="dxa"/>
              <w:right w:w="108" w:type="dxa"/>
            </w:tcMar>
            <w:vAlign w:val="center"/>
          </w:tcPr>
          <w:p w14:paraId="4D5DDD7F">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单麒惠</w:t>
            </w:r>
          </w:p>
        </w:tc>
        <w:tc>
          <w:tcPr>
            <w:tcW w:w="1658" w:type="dxa"/>
            <w:tcMar>
              <w:top w:w="0" w:type="dxa"/>
              <w:left w:w="108" w:type="dxa"/>
              <w:bottom w:w="0" w:type="dxa"/>
              <w:right w:w="108" w:type="dxa"/>
            </w:tcMar>
            <w:vAlign w:val="center"/>
          </w:tcPr>
          <w:p w14:paraId="2507414E">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程宇</w:t>
            </w:r>
          </w:p>
        </w:tc>
        <w:tc>
          <w:tcPr>
            <w:tcW w:w="1842" w:type="dxa"/>
            <w:tcMar>
              <w:top w:w="0" w:type="dxa"/>
              <w:left w:w="108" w:type="dxa"/>
              <w:bottom w:w="0" w:type="dxa"/>
              <w:right w:w="108" w:type="dxa"/>
            </w:tcMar>
            <w:vAlign w:val="center"/>
          </w:tcPr>
          <w:p w14:paraId="226123F5">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03AD2096">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23C7BEE9">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玉米须水提物及其联合低聚果糖对2型糖尿病前期人群糖代谢调控作用及肠道多组学机制研究</w:t>
            </w:r>
          </w:p>
        </w:tc>
        <w:tc>
          <w:tcPr>
            <w:tcW w:w="1617" w:type="dxa"/>
            <w:vAlign w:val="center"/>
          </w:tcPr>
          <w:p w14:paraId="40F3AEC3">
            <w:pPr>
              <w:kinsoku/>
              <w:autoSpaceDE/>
              <w:autoSpaceDN/>
              <w:spacing w:before="100" w:beforeAutospacing="1" w:after="100" w:afterAutospacing="1"/>
              <w:jc w:val="center"/>
              <w:textAlignment w:val="auto"/>
              <w:rPr>
                <w:rFonts w:eastAsia="宋体"/>
                <w:snapToGrid/>
                <w:color w:val="auto"/>
                <w:lang w:eastAsia="zh-CN"/>
              </w:rPr>
            </w:pPr>
          </w:p>
        </w:tc>
      </w:tr>
      <w:tr w14:paraId="4242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7986596A">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12</w:t>
            </w:r>
          </w:p>
        </w:tc>
        <w:tc>
          <w:tcPr>
            <w:tcW w:w="1560" w:type="dxa"/>
            <w:tcMar>
              <w:top w:w="0" w:type="dxa"/>
              <w:left w:w="108" w:type="dxa"/>
              <w:bottom w:w="0" w:type="dxa"/>
              <w:right w:w="108" w:type="dxa"/>
            </w:tcMar>
            <w:vAlign w:val="center"/>
          </w:tcPr>
          <w:p w14:paraId="32212368">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2025220512</w:t>
            </w:r>
          </w:p>
        </w:tc>
        <w:tc>
          <w:tcPr>
            <w:tcW w:w="1177" w:type="dxa"/>
            <w:tcMar>
              <w:top w:w="0" w:type="dxa"/>
              <w:left w:w="108" w:type="dxa"/>
              <w:bottom w:w="0" w:type="dxa"/>
              <w:right w:w="108" w:type="dxa"/>
            </w:tcMar>
            <w:vAlign w:val="center"/>
          </w:tcPr>
          <w:p w14:paraId="3C5815D6">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张文涛</w:t>
            </w:r>
          </w:p>
        </w:tc>
        <w:tc>
          <w:tcPr>
            <w:tcW w:w="1658" w:type="dxa"/>
            <w:tcMar>
              <w:top w:w="0" w:type="dxa"/>
              <w:left w:w="108" w:type="dxa"/>
              <w:bottom w:w="0" w:type="dxa"/>
              <w:right w:w="108" w:type="dxa"/>
            </w:tcMar>
            <w:vAlign w:val="center"/>
          </w:tcPr>
          <w:p w14:paraId="1A4A9068">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葛杰</w:t>
            </w:r>
          </w:p>
        </w:tc>
        <w:tc>
          <w:tcPr>
            <w:tcW w:w="1842" w:type="dxa"/>
            <w:tcMar>
              <w:top w:w="0" w:type="dxa"/>
              <w:left w:w="108" w:type="dxa"/>
              <w:bottom w:w="0" w:type="dxa"/>
              <w:right w:w="108" w:type="dxa"/>
            </w:tcMar>
            <w:vAlign w:val="center"/>
          </w:tcPr>
          <w:p w14:paraId="39929B35">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48590749">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部系楼BC-102</w:t>
            </w:r>
          </w:p>
        </w:tc>
        <w:tc>
          <w:tcPr>
            <w:tcW w:w="3543" w:type="dxa"/>
            <w:tcMar>
              <w:top w:w="0" w:type="dxa"/>
              <w:left w:w="108" w:type="dxa"/>
              <w:bottom w:w="0" w:type="dxa"/>
              <w:right w:w="108" w:type="dxa"/>
            </w:tcMar>
            <w:vAlign w:val="center"/>
          </w:tcPr>
          <w:p w14:paraId="1A795CDB">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基于RRBS的达斡尔族缺血性脑卒中生物标志物筛选及SDF4基因调控钙稳态通路机制</w:t>
            </w:r>
          </w:p>
        </w:tc>
        <w:tc>
          <w:tcPr>
            <w:tcW w:w="1617" w:type="dxa"/>
            <w:vAlign w:val="center"/>
          </w:tcPr>
          <w:p w14:paraId="3CEBEF29">
            <w:pPr>
              <w:kinsoku/>
              <w:autoSpaceDE/>
              <w:autoSpaceDN/>
              <w:spacing w:before="100" w:beforeAutospacing="1" w:after="100" w:afterAutospacing="1"/>
              <w:jc w:val="center"/>
              <w:textAlignment w:val="auto"/>
              <w:rPr>
                <w:rFonts w:eastAsia="宋体"/>
                <w:snapToGrid/>
                <w:color w:val="auto"/>
                <w:lang w:eastAsia="zh-CN"/>
              </w:rPr>
            </w:pPr>
          </w:p>
        </w:tc>
      </w:tr>
      <w:tr w14:paraId="4C26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7F76C46D">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13</w:t>
            </w:r>
          </w:p>
        </w:tc>
        <w:tc>
          <w:tcPr>
            <w:tcW w:w="1560" w:type="dxa"/>
            <w:tcMar>
              <w:top w:w="0" w:type="dxa"/>
              <w:left w:w="108" w:type="dxa"/>
              <w:bottom w:w="0" w:type="dxa"/>
              <w:right w:w="108" w:type="dxa"/>
            </w:tcMar>
            <w:vAlign w:val="center"/>
          </w:tcPr>
          <w:p w14:paraId="0A5A7C18">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2025220513</w:t>
            </w:r>
          </w:p>
        </w:tc>
        <w:tc>
          <w:tcPr>
            <w:tcW w:w="1177" w:type="dxa"/>
            <w:tcMar>
              <w:top w:w="0" w:type="dxa"/>
              <w:left w:w="108" w:type="dxa"/>
              <w:bottom w:w="0" w:type="dxa"/>
              <w:right w:w="108" w:type="dxa"/>
            </w:tcMar>
            <w:vAlign w:val="center"/>
          </w:tcPr>
          <w:p w14:paraId="4C575DE3">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张寒琪</w:t>
            </w:r>
          </w:p>
        </w:tc>
        <w:tc>
          <w:tcPr>
            <w:tcW w:w="1658" w:type="dxa"/>
            <w:tcMar>
              <w:top w:w="0" w:type="dxa"/>
              <w:left w:w="108" w:type="dxa"/>
              <w:bottom w:w="0" w:type="dxa"/>
              <w:right w:w="108" w:type="dxa"/>
            </w:tcMar>
            <w:vAlign w:val="center"/>
          </w:tcPr>
          <w:p w14:paraId="4EB9BE02">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韩云峰</w:t>
            </w:r>
            <w:r>
              <w:rPr>
                <w:rFonts w:eastAsia="宋体"/>
                <w:snapToGrid/>
                <w:color w:val="auto"/>
                <w:lang w:eastAsia="zh-CN"/>
              </w:rPr>
              <w:t xml:space="preserve"> </w:t>
            </w:r>
            <w:r>
              <w:rPr>
                <w:rFonts w:hint="eastAsia" w:eastAsia="宋体"/>
                <w:snapToGrid/>
                <w:color w:val="auto"/>
                <w:lang w:eastAsia="zh-CN"/>
              </w:rPr>
              <w:t>孙丽艳</w:t>
            </w:r>
          </w:p>
        </w:tc>
        <w:tc>
          <w:tcPr>
            <w:tcW w:w="1842" w:type="dxa"/>
            <w:tcMar>
              <w:top w:w="0" w:type="dxa"/>
              <w:left w:w="108" w:type="dxa"/>
              <w:bottom w:w="0" w:type="dxa"/>
              <w:right w:w="108" w:type="dxa"/>
            </w:tcMar>
            <w:vAlign w:val="center"/>
          </w:tcPr>
          <w:p w14:paraId="46BB25D2">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14A6D3FD">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5F1F5D8F">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T-2毒素致关节软骨细胞焦亡机制的探索研究</w:t>
            </w:r>
          </w:p>
        </w:tc>
        <w:tc>
          <w:tcPr>
            <w:tcW w:w="1617" w:type="dxa"/>
            <w:vAlign w:val="center"/>
          </w:tcPr>
          <w:p w14:paraId="5155302F">
            <w:pPr>
              <w:kinsoku/>
              <w:autoSpaceDE/>
              <w:autoSpaceDN/>
              <w:spacing w:before="100" w:beforeAutospacing="1" w:after="100" w:afterAutospacing="1"/>
              <w:jc w:val="center"/>
              <w:textAlignment w:val="auto"/>
              <w:rPr>
                <w:rFonts w:eastAsia="宋体"/>
                <w:snapToGrid/>
                <w:color w:val="auto"/>
                <w:lang w:eastAsia="zh-CN"/>
              </w:rPr>
            </w:pPr>
          </w:p>
        </w:tc>
      </w:tr>
      <w:tr w14:paraId="5FBE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0FE0198F">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14</w:t>
            </w:r>
          </w:p>
        </w:tc>
        <w:tc>
          <w:tcPr>
            <w:tcW w:w="1560" w:type="dxa"/>
            <w:tcMar>
              <w:top w:w="0" w:type="dxa"/>
              <w:left w:w="108" w:type="dxa"/>
              <w:bottom w:w="0" w:type="dxa"/>
              <w:right w:w="108" w:type="dxa"/>
            </w:tcMar>
            <w:vAlign w:val="center"/>
          </w:tcPr>
          <w:p w14:paraId="23413082">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2025220515</w:t>
            </w:r>
          </w:p>
        </w:tc>
        <w:tc>
          <w:tcPr>
            <w:tcW w:w="1177" w:type="dxa"/>
            <w:tcMar>
              <w:top w:w="0" w:type="dxa"/>
              <w:left w:w="108" w:type="dxa"/>
              <w:bottom w:w="0" w:type="dxa"/>
              <w:right w:w="108" w:type="dxa"/>
            </w:tcMar>
            <w:vAlign w:val="center"/>
          </w:tcPr>
          <w:p w14:paraId="16EEAF7D">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闫行</w:t>
            </w:r>
          </w:p>
        </w:tc>
        <w:tc>
          <w:tcPr>
            <w:tcW w:w="1658" w:type="dxa"/>
            <w:tcMar>
              <w:top w:w="0" w:type="dxa"/>
              <w:left w:w="108" w:type="dxa"/>
              <w:bottom w:w="0" w:type="dxa"/>
              <w:right w:w="108" w:type="dxa"/>
            </w:tcMar>
            <w:vAlign w:val="center"/>
          </w:tcPr>
          <w:p w14:paraId="5DCF1418">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杜琳琳</w:t>
            </w:r>
          </w:p>
        </w:tc>
        <w:tc>
          <w:tcPr>
            <w:tcW w:w="1842" w:type="dxa"/>
            <w:tcMar>
              <w:top w:w="0" w:type="dxa"/>
              <w:left w:w="108" w:type="dxa"/>
              <w:bottom w:w="0" w:type="dxa"/>
              <w:right w:w="108" w:type="dxa"/>
            </w:tcMar>
            <w:vAlign w:val="center"/>
          </w:tcPr>
          <w:p w14:paraId="6C42B3B5">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55F52289">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383ABE4F">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基于多源数据库的PFAS暴露与人群健康风险的关联性研究</w:t>
            </w:r>
          </w:p>
        </w:tc>
        <w:tc>
          <w:tcPr>
            <w:tcW w:w="1617" w:type="dxa"/>
            <w:vAlign w:val="center"/>
          </w:tcPr>
          <w:p w14:paraId="40A39CB0">
            <w:pPr>
              <w:kinsoku/>
              <w:autoSpaceDE/>
              <w:autoSpaceDN/>
              <w:spacing w:before="100" w:beforeAutospacing="1" w:after="100" w:afterAutospacing="1"/>
              <w:jc w:val="center"/>
              <w:textAlignment w:val="auto"/>
              <w:rPr>
                <w:rFonts w:eastAsia="宋体"/>
                <w:snapToGrid/>
                <w:color w:val="auto"/>
                <w:lang w:eastAsia="zh-CN"/>
              </w:rPr>
            </w:pPr>
          </w:p>
        </w:tc>
      </w:tr>
      <w:tr w14:paraId="0AD9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3" w:type="dxa"/>
            <w:tcMar>
              <w:top w:w="0" w:type="dxa"/>
              <w:left w:w="108" w:type="dxa"/>
              <w:bottom w:w="0" w:type="dxa"/>
              <w:right w:w="108" w:type="dxa"/>
            </w:tcMar>
            <w:vAlign w:val="center"/>
          </w:tcPr>
          <w:p w14:paraId="5FC161CB">
            <w:pPr>
              <w:kinsoku/>
              <w:autoSpaceDE/>
              <w:autoSpaceDN/>
              <w:spacing w:before="100" w:beforeAutospacing="1" w:after="100" w:afterAutospacing="1"/>
              <w:ind w:hanging="420"/>
              <w:jc w:val="center"/>
              <w:textAlignment w:val="auto"/>
              <w:rPr>
                <w:rFonts w:eastAsia="宋体"/>
                <w:snapToGrid/>
                <w:color w:val="auto"/>
                <w:lang w:eastAsia="zh-CN"/>
              </w:rPr>
            </w:pPr>
            <w:r>
              <w:rPr>
                <w:rFonts w:eastAsia="宋体"/>
                <w:snapToGrid/>
                <w:color w:val="auto"/>
                <w:lang w:eastAsia="zh-CN"/>
              </w:rPr>
              <w:t>15</w:t>
            </w:r>
          </w:p>
        </w:tc>
        <w:tc>
          <w:tcPr>
            <w:tcW w:w="1560" w:type="dxa"/>
            <w:tcMar>
              <w:top w:w="0" w:type="dxa"/>
              <w:left w:w="108" w:type="dxa"/>
              <w:bottom w:w="0" w:type="dxa"/>
              <w:right w:w="108" w:type="dxa"/>
            </w:tcMar>
            <w:vAlign w:val="center"/>
          </w:tcPr>
          <w:p w14:paraId="18D17F71">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2025220516</w:t>
            </w:r>
          </w:p>
        </w:tc>
        <w:tc>
          <w:tcPr>
            <w:tcW w:w="1177" w:type="dxa"/>
            <w:tcMar>
              <w:top w:w="0" w:type="dxa"/>
              <w:left w:w="108" w:type="dxa"/>
              <w:bottom w:w="0" w:type="dxa"/>
              <w:right w:w="108" w:type="dxa"/>
            </w:tcMar>
            <w:vAlign w:val="center"/>
          </w:tcPr>
          <w:p w14:paraId="3812CB99">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郭如玟</w:t>
            </w:r>
          </w:p>
        </w:tc>
        <w:tc>
          <w:tcPr>
            <w:tcW w:w="1658" w:type="dxa"/>
            <w:tcMar>
              <w:top w:w="0" w:type="dxa"/>
              <w:left w:w="108" w:type="dxa"/>
              <w:bottom w:w="0" w:type="dxa"/>
              <w:right w:w="108" w:type="dxa"/>
            </w:tcMar>
            <w:vAlign w:val="center"/>
          </w:tcPr>
          <w:p w14:paraId="4419733D">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eastAsia="zh-CN"/>
              </w:rPr>
              <w:t>李刚</w:t>
            </w:r>
          </w:p>
        </w:tc>
        <w:tc>
          <w:tcPr>
            <w:tcW w:w="1842" w:type="dxa"/>
            <w:tcMar>
              <w:top w:w="0" w:type="dxa"/>
              <w:left w:w="108" w:type="dxa"/>
              <w:bottom w:w="0" w:type="dxa"/>
              <w:right w:w="108" w:type="dxa"/>
            </w:tcMar>
            <w:vAlign w:val="center"/>
          </w:tcPr>
          <w:p w14:paraId="1F66D004">
            <w:pPr>
              <w:kinsoku/>
              <w:autoSpaceDE/>
              <w:autoSpaceDN/>
              <w:spacing w:before="100" w:beforeAutospacing="1" w:after="100" w:afterAutospacing="1"/>
              <w:jc w:val="center"/>
              <w:textAlignment w:val="auto"/>
              <w:rPr>
                <w:rFonts w:eastAsia="宋体"/>
                <w:snapToGrid/>
                <w:color w:val="auto"/>
                <w:lang w:eastAsia="zh-CN"/>
              </w:rPr>
            </w:pPr>
            <w:r>
              <w:rPr>
                <w:rFonts w:hint="eastAsia" w:eastAsia="宋体"/>
                <w:snapToGrid/>
                <w:color w:val="auto"/>
                <w:lang w:val="en-US" w:eastAsia="zh-CN"/>
              </w:rPr>
              <w:t>2026年6月11日</w:t>
            </w:r>
          </w:p>
        </w:tc>
        <w:tc>
          <w:tcPr>
            <w:tcW w:w="2127" w:type="dxa"/>
            <w:tcMar>
              <w:top w:w="0" w:type="dxa"/>
              <w:left w:w="108" w:type="dxa"/>
              <w:bottom w:w="0" w:type="dxa"/>
              <w:right w:w="108" w:type="dxa"/>
            </w:tcMar>
            <w:vAlign w:val="center"/>
          </w:tcPr>
          <w:p w14:paraId="4646EFA9">
            <w:pPr>
              <w:kinsoku/>
              <w:autoSpaceDE/>
              <w:autoSpaceDN/>
              <w:spacing w:after="200"/>
              <w:jc w:val="center"/>
              <w:textAlignment w:val="auto"/>
              <w:rPr>
                <w:rFonts w:eastAsia="宋体"/>
                <w:snapToGrid/>
                <w:color w:val="auto"/>
                <w:lang w:eastAsia="zh-CN"/>
              </w:rPr>
            </w:pPr>
            <w:r>
              <w:rPr>
                <w:rFonts w:hint="eastAsia" w:ascii="宋体" w:hAnsi="宋体" w:eastAsia="宋体" w:cs="宋体"/>
                <w:i w:val="0"/>
                <w:iCs w:val="0"/>
                <w:snapToGrid w:val="0"/>
                <w:color w:val="000000"/>
                <w:kern w:val="0"/>
                <w:sz w:val="20"/>
                <w:szCs w:val="20"/>
                <w:u w:val="none"/>
                <w:lang w:val="en-US" w:eastAsia="zh-CN" w:bidi="ar"/>
              </w:rPr>
              <w:t>部系楼AB-101</w:t>
            </w:r>
          </w:p>
        </w:tc>
        <w:tc>
          <w:tcPr>
            <w:tcW w:w="3543" w:type="dxa"/>
            <w:tcMar>
              <w:top w:w="0" w:type="dxa"/>
              <w:left w:w="108" w:type="dxa"/>
              <w:bottom w:w="0" w:type="dxa"/>
              <w:right w:w="108" w:type="dxa"/>
            </w:tcMar>
            <w:vAlign w:val="center"/>
          </w:tcPr>
          <w:p w14:paraId="2A6507CE">
            <w:pPr>
              <w:kinsoku/>
              <w:autoSpaceDE/>
              <w:autoSpaceDN/>
              <w:spacing w:before="100" w:beforeAutospacing="1" w:after="100" w:afterAutospacing="1"/>
              <w:jc w:val="center"/>
              <w:textAlignment w:val="auto"/>
              <w:rPr>
                <w:rFonts w:eastAsia="宋体"/>
                <w:snapToGrid/>
                <w:color w:val="auto"/>
                <w:lang w:eastAsia="zh-CN"/>
              </w:rPr>
            </w:pPr>
            <w:r>
              <w:rPr>
                <w:rFonts w:eastAsia="宋体"/>
                <w:snapToGrid/>
                <w:color w:val="auto"/>
                <w:lang w:eastAsia="zh-CN"/>
              </w:rPr>
              <w:t>草甘膦通过损伤间质细胞线粒体激活炎症通路介导睾酮合成障碍的机制研究</w:t>
            </w:r>
          </w:p>
        </w:tc>
        <w:tc>
          <w:tcPr>
            <w:tcW w:w="1617" w:type="dxa"/>
            <w:vAlign w:val="center"/>
          </w:tcPr>
          <w:p w14:paraId="00E92269">
            <w:pPr>
              <w:kinsoku/>
              <w:autoSpaceDE/>
              <w:autoSpaceDN/>
              <w:spacing w:before="100" w:beforeAutospacing="1" w:after="100" w:afterAutospacing="1"/>
              <w:jc w:val="center"/>
              <w:textAlignment w:val="auto"/>
              <w:rPr>
                <w:rFonts w:eastAsia="宋体"/>
                <w:snapToGrid/>
                <w:color w:val="auto"/>
                <w:lang w:eastAsia="zh-CN"/>
              </w:rPr>
            </w:pPr>
          </w:p>
        </w:tc>
      </w:tr>
    </w:tbl>
    <w:p w14:paraId="3B04C12F">
      <w:pPr>
        <w:kinsoku/>
        <w:autoSpaceDE/>
        <w:autoSpaceDN/>
        <w:spacing w:after="200"/>
        <w:textAlignment w:val="auto"/>
        <w:rPr>
          <w:rFonts w:ascii="Tahoma" w:hAnsi="Tahoma" w:eastAsia="微软雅黑" w:cs="Tahoma"/>
          <w:snapToGrid/>
          <w:color w:val="auto"/>
          <w:sz w:val="22"/>
          <w:szCs w:val="22"/>
          <w:lang w:eastAsia="zh-CN"/>
        </w:rPr>
      </w:pPr>
    </w:p>
    <w:p w14:paraId="45D801DD">
      <w:pPr>
        <w:rPr>
          <w:rFonts w:eastAsiaTheme="minorEastAsia"/>
          <w:lang w:eastAsia="zh-C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0AF5">
    <w:pPr>
      <w:pStyle w:val="2"/>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2NzNjZWQzOThkYTk2NjUwMTNhOTgyMDUzY2NkMTQifQ=="/>
  </w:docVars>
  <w:rsids>
    <w:rsidRoot w:val="015E460B"/>
    <w:rsid w:val="00040742"/>
    <w:rsid w:val="002407D7"/>
    <w:rsid w:val="0058087E"/>
    <w:rsid w:val="005C6FF9"/>
    <w:rsid w:val="006352F3"/>
    <w:rsid w:val="006B143C"/>
    <w:rsid w:val="00796BDD"/>
    <w:rsid w:val="007B2CBE"/>
    <w:rsid w:val="009C04BE"/>
    <w:rsid w:val="00A269BE"/>
    <w:rsid w:val="015E460B"/>
    <w:rsid w:val="2C98775A"/>
    <w:rsid w:val="3D1742A3"/>
    <w:rsid w:val="412366E2"/>
    <w:rsid w:val="639A0AD8"/>
    <w:rsid w:val="679A3A27"/>
    <w:rsid w:val="6A35118D"/>
    <w:rsid w:val="6BA57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customStyle="1" w:styleId="5">
    <w:name w:val="Table Text"/>
    <w:basedOn w:val="1"/>
    <w:semiHidden/>
    <w:qFormat/>
    <w:uiPriority w:val="0"/>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763</Words>
  <Characters>1075</Characters>
  <Lines>8</Lines>
  <Paragraphs>2</Paragraphs>
  <TotalTime>4</TotalTime>
  <ScaleCrop>false</ScaleCrop>
  <LinksUpToDate>false</LinksUpToDate>
  <CharactersWithSpaces>1136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2026-05-26T07:42:00Z</dcterms:created>
  <dc:creator>Little</dc:creator>
  <cp:lastModifiedBy>^L雯T^</cp:lastModifiedBy>
  <dcterms:modified xsi:type="dcterms:W3CDTF">2026-05-27T03:17:36Z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EA087376EA0A4E97B646548A050118C8_13</vt:lpwstr>
  </property>
  <property fmtid="{D5CDD505-2E9C-101B-9397-08002B2CF9AE}" pid="4" name="KSOTemplateDocerSaveRecord">
    <vt:lpwstr>eyJoZGlkIjoiMTFkOGU4ZWRkMDU4ZWExYTZlM2JhMzQzN2E2YWU0NjEiLCJ1c2VySWQiOiI2MDg0NDk1NTYifQ==</vt:lpwstr>
  </property>
</Properties>
</file>